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62A8" w14:textId="75AC7E4C" w:rsidR="00475A15" w:rsidRPr="00D223D7" w:rsidRDefault="00475A15" w:rsidP="00475A15">
      <w:pPr>
        <w:pStyle w:val="Nagwek1"/>
        <w:rPr>
          <w:lang w:val="pl-PL"/>
        </w:rPr>
      </w:pPr>
      <w:bookmarkStart w:id="0" w:name="_Toc2"/>
      <w:r w:rsidRPr="00D223D7">
        <w:rPr>
          <w:rStyle w:val="BrakA"/>
          <w:rFonts w:eastAsia="Arial Unicode MS" w:cs="Arial Unicode MS"/>
          <w:lang w:val="pl-PL"/>
        </w:rPr>
        <w:t xml:space="preserve"> Streszczenie w języku polskim</w:t>
      </w:r>
      <w:bookmarkEnd w:id="0"/>
    </w:p>
    <w:p w14:paraId="1DE07497" w14:textId="77777777" w:rsidR="00475A15" w:rsidRPr="00D223D7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6E5891D" w14:textId="77777777" w:rsidR="00475A15" w:rsidRPr="00D223D7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223D7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Cel pracy:</w:t>
      </w:r>
    </w:p>
    <w:p w14:paraId="6ECA0994" w14:textId="77777777" w:rsidR="00475A15" w:rsidRPr="001154E8" w:rsidRDefault="00475A15" w:rsidP="00475A15">
      <w:pPr>
        <w:pStyle w:val="tekst"/>
        <w:rPr>
          <w:rStyle w:val="BrakA"/>
          <w:lang w:val="pl-PL"/>
        </w:rPr>
      </w:pPr>
      <w:r w:rsidRPr="001154E8">
        <w:rPr>
          <w:rStyle w:val="BrakA"/>
          <w:lang w:val="pl-PL"/>
        </w:rPr>
        <w:t>Celem pracy doktorskiej była ocena parametr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 klinicznych oraz funkcjonalnych u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 po wszczepieniu soczewek o wydłużonej ogniskowej</w:t>
      </w:r>
      <w:r>
        <w:rPr>
          <w:rStyle w:val="BrakA"/>
          <w:lang w:val="pl-PL"/>
        </w:rPr>
        <w:t xml:space="preserve"> o różnej konstrukcji optycznej.</w:t>
      </w:r>
    </w:p>
    <w:p w14:paraId="57DE701F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802AC2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154E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Materiały i metody:</w:t>
      </w:r>
    </w:p>
    <w:p w14:paraId="4EF5119E" w14:textId="77777777" w:rsidR="00475A15" w:rsidRPr="001154E8" w:rsidRDefault="00475A15" w:rsidP="00475A15">
      <w:pPr>
        <w:pStyle w:val="tekst"/>
        <w:rPr>
          <w:rStyle w:val="BrakA"/>
          <w:lang w:val="pl-PL"/>
        </w:rPr>
      </w:pPr>
      <w:r w:rsidRPr="001154E8">
        <w:rPr>
          <w:rStyle w:val="BrakA"/>
          <w:lang w:val="pl-PL"/>
        </w:rPr>
        <w:t xml:space="preserve">Przeprowadzono analizę retrospektywną z oceną </w:t>
      </w:r>
      <w:r>
        <w:rPr>
          <w:rStyle w:val="Brak"/>
          <w:lang w:val="pt-PT"/>
        </w:rPr>
        <w:t>parametr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 klinicznych oraz funkcjonalnych u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w, </w:t>
      </w:r>
      <w:proofErr w:type="spellStart"/>
      <w:r w:rsidRPr="001154E8">
        <w:rPr>
          <w:rStyle w:val="BrakA"/>
          <w:lang w:val="pl-PL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rzy</w:t>
      </w:r>
      <w:proofErr w:type="spellEnd"/>
      <w:r w:rsidRPr="001154E8">
        <w:rPr>
          <w:rStyle w:val="BrakA"/>
          <w:lang w:val="pl-PL"/>
        </w:rPr>
        <w:t xml:space="preserve"> mieli </w:t>
      </w:r>
      <w:r>
        <w:rPr>
          <w:rStyle w:val="BrakA"/>
          <w:lang w:val="pl-PL"/>
        </w:rPr>
        <w:t xml:space="preserve">przeprowadzoną </w:t>
      </w:r>
      <w:r w:rsidRPr="001154E8">
        <w:rPr>
          <w:rStyle w:val="BrakA"/>
          <w:lang w:val="pl-PL"/>
        </w:rPr>
        <w:t xml:space="preserve">operację zaćmy z wszczepieniem soczewki o wydłużonej ogniskowej 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 xml:space="preserve"> oraz 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 xml:space="preserve"> w Samodzielnym Publicznym Klinicznym Szpitalu Okulistycznym oraz w Klinice Laser w okresie od stycznia 2017 roku do lutego 2020 roku oraz soczewki </w:t>
      </w:r>
      <w:proofErr w:type="spellStart"/>
      <w:r w:rsidRPr="001154E8">
        <w:rPr>
          <w:rStyle w:val="BrakA"/>
          <w:lang w:val="pl-PL"/>
        </w:rPr>
        <w:t>Acrysof</w:t>
      </w:r>
      <w:proofErr w:type="spellEnd"/>
      <w:r w:rsidRPr="001154E8">
        <w:rPr>
          <w:rStyle w:val="BrakA"/>
          <w:lang w:val="pl-PL"/>
        </w:rPr>
        <w:t xml:space="preserve"> </w:t>
      </w:r>
      <w:proofErr w:type="spellStart"/>
      <w:r w:rsidRPr="001154E8">
        <w:rPr>
          <w:rStyle w:val="BrakA"/>
          <w:lang w:val="pl-PL"/>
        </w:rPr>
        <w:t>Vivity</w:t>
      </w:r>
      <w:proofErr w:type="spellEnd"/>
      <w:r w:rsidRPr="001154E8">
        <w:rPr>
          <w:rStyle w:val="BrakA"/>
          <w:lang w:val="pl-PL"/>
        </w:rPr>
        <w:t xml:space="preserve"> w Klinice Laser między styczniem 2021 roku a marcem 2022 roku.</w:t>
      </w:r>
    </w:p>
    <w:p w14:paraId="2AB1BCA2" w14:textId="77777777" w:rsidR="00475A15" w:rsidRPr="001154E8" w:rsidRDefault="00475A15" w:rsidP="00475A15">
      <w:pPr>
        <w:pStyle w:val="tekst"/>
        <w:rPr>
          <w:rStyle w:val="BrakA"/>
          <w:lang w:val="pl-PL"/>
        </w:rPr>
      </w:pPr>
      <w:r w:rsidRPr="001154E8">
        <w:rPr>
          <w:rStyle w:val="BrakA"/>
          <w:lang w:val="pl-PL"/>
        </w:rPr>
        <w:t xml:space="preserve">Soczewki 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 xml:space="preserve"> zostały wszczepione u 32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(64 oczy), soczewki 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 xml:space="preserve"> </w:t>
      </w:r>
      <w:r w:rsidRPr="001154E8">
        <w:rPr>
          <w:rStyle w:val="BrakA"/>
          <w:lang w:val="pl-PL"/>
        </w:rPr>
        <w:br/>
        <w:t>u 29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(58 oczu). Okres obserwacji wynosił 6 miesięcy. Soczewki </w:t>
      </w:r>
      <w:proofErr w:type="spellStart"/>
      <w:r w:rsidRPr="001154E8">
        <w:rPr>
          <w:rStyle w:val="BrakA"/>
          <w:lang w:val="pl-PL"/>
        </w:rPr>
        <w:t>Vivity</w:t>
      </w:r>
      <w:proofErr w:type="spellEnd"/>
      <w:r w:rsidRPr="001154E8">
        <w:rPr>
          <w:rStyle w:val="BrakA"/>
          <w:lang w:val="pl-PL"/>
        </w:rPr>
        <w:t xml:space="preserve"> wszczepiono u 45 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(71 oczu). Okres obserwacji </w:t>
      </w:r>
      <w:proofErr w:type="spellStart"/>
      <w:r w:rsidRPr="001154E8">
        <w:rPr>
          <w:rStyle w:val="BrakA"/>
          <w:lang w:val="pl-PL"/>
        </w:rPr>
        <w:t>wyni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sł</w:t>
      </w:r>
      <w:proofErr w:type="spellEnd"/>
      <w:r w:rsidRPr="001154E8">
        <w:rPr>
          <w:rStyle w:val="BrakA"/>
          <w:lang w:val="pl-PL"/>
        </w:rPr>
        <w:t xml:space="preserve"> 3 miesiące.</w:t>
      </w:r>
    </w:p>
    <w:p w14:paraId="7F9E4B58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BD6D85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154E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Wyniki:</w:t>
      </w:r>
    </w:p>
    <w:p w14:paraId="5C1F7F93" w14:textId="77777777" w:rsidR="00475A15" w:rsidRPr="001154E8" w:rsidRDefault="00475A15" w:rsidP="00475A15">
      <w:pPr>
        <w:pStyle w:val="tekst"/>
        <w:rPr>
          <w:rStyle w:val="BrakA"/>
          <w:lang w:val="pl-PL"/>
        </w:rPr>
      </w:pPr>
      <w:r w:rsidRPr="001154E8">
        <w:rPr>
          <w:rStyle w:val="BrakA"/>
          <w:lang w:val="pl-PL"/>
        </w:rPr>
        <w:t>W grupie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w, u </w:t>
      </w:r>
      <w:proofErr w:type="spellStart"/>
      <w:r w:rsidRPr="001154E8">
        <w:rPr>
          <w:rStyle w:val="BrakA"/>
          <w:lang w:val="pl-PL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rych</w:t>
      </w:r>
      <w:proofErr w:type="spellEnd"/>
      <w:r w:rsidRPr="001154E8">
        <w:rPr>
          <w:rStyle w:val="BrakA"/>
          <w:lang w:val="pl-PL"/>
        </w:rPr>
        <w:t xml:space="preserve"> wszczepiono soczewki 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 xml:space="preserve"> oraz 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 xml:space="preserve"> uzyskano poprawę istotną statystycznie ostrości wzroku do dali bez korekcji oraz z najlepszą korekcją, wartości te były nieco wyższe w grupie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po wszczepieniu soczewek 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>. Ostrość wzroku do odległości pośredniej oraz bliskiej bez korekcji or</w:t>
      </w:r>
      <w:r>
        <w:rPr>
          <w:rStyle w:val="BrakA"/>
          <w:lang w:val="pl-PL"/>
        </w:rPr>
        <w:t>a</w:t>
      </w:r>
      <w:r w:rsidRPr="001154E8">
        <w:rPr>
          <w:rStyle w:val="BrakA"/>
          <w:lang w:val="pl-PL"/>
        </w:rPr>
        <w:t xml:space="preserve">z z najlepszą korekcją była nieznacznie wyższa w grupie soczewek 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 xml:space="preserve">. Uzyskano istotną statystycznie poprawę </w:t>
      </w:r>
      <w:r>
        <w:rPr>
          <w:rStyle w:val="Brak"/>
          <w:lang w:val="it-IT"/>
        </w:rPr>
        <w:t>ostro</w:t>
      </w:r>
      <w:proofErr w:type="spellStart"/>
      <w:r w:rsidRPr="001154E8">
        <w:rPr>
          <w:rStyle w:val="BrakA"/>
          <w:lang w:val="pl-PL"/>
        </w:rPr>
        <w:t>ści</w:t>
      </w:r>
      <w:proofErr w:type="spellEnd"/>
      <w:r w:rsidRPr="001154E8">
        <w:rPr>
          <w:rStyle w:val="BrakA"/>
          <w:lang w:val="pl-PL"/>
        </w:rPr>
        <w:t xml:space="preserve"> wzroku do dali u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w, u </w:t>
      </w:r>
      <w:proofErr w:type="spellStart"/>
      <w:r w:rsidRPr="001154E8">
        <w:rPr>
          <w:rStyle w:val="BrakA"/>
          <w:lang w:val="pl-PL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rych</w:t>
      </w:r>
      <w:proofErr w:type="spellEnd"/>
      <w:r w:rsidRPr="001154E8">
        <w:rPr>
          <w:rStyle w:val="BrakA"/>
          <w:lang w:val="pl-PL"/>
        </w:rPr>
        <w:t xml:space="preserve"> wszczepiono soczewki </w:t>
      </w:r>
      <w:proofErr w:type="spellStart"/>
      <w:r w:rsidRPr="001154E8">
        <w:rPr>
          <w:rStyle w:val="BrakA"/>
          <w:lang w:val="pl-PL"/>
        </w:rPr>
        <w:t>Vivity</w:t>
      </w:r>
      <w:proofErr w:type="spellEnd"/>
      <w:r w:rsidRPr="001154E8">
        <w:rPr>
          <w:rStyle w:val="BrakA"/>
          <w:lang w:val="pl-PL"/>
        </w:rPr>
        <w:t xml:space="preserve">, a także bardzo dobrą </w:t>
      </w:r>
      <w:r>
        <w:rPr>
          <w:rStyle w:val="Brak"/>
          <w:lang w:val="it-IT"/>
        </w:rPr>
        <w:t>ostro</w:t>
      </w:r>
      <w:proofErr w:type="spellStart"/>
      <w:r w:rsidRPr="001154E8">
        <w:rPr>
          <w:rStyle w:val="BrakA"/>
          <w:lang w:val="pl-PL"/>
        </w:rPr>
        <w:t>ść</w:t>
      </w:r>
      <w:proofErr w:type="spellEnd"/>
      <w:r w:rsidRPr="001154E8">
        <w:rPr>
          <w:rStyle w:val="BrakA"/>
          <w:lang w:val="pl-PL"/>
        </w:rPr>
        <w:t xml:space="preserve"> wzroku do odległości pośredniej oraz satysfakcjonującą do bliskich odległości. </w:t>
      </w:r>
      <w:proofErr w:type="spellStart"/>
      <w:r w:rsidRPr="001154E8">
        <w:rPr>
          <w:rStyle w:val="BrakA"/>
          <w:lang w:val="pl-PL"/>
        </w:rPr>
        <w:t>Dysfotopsje</w:t>
      </w:r>
      <w:proofErr w:type="spellEnd"/>
      <w:r w:rsidRPr="001154E8">
        <w:rPr>
          <w:rStyle w:val="BrakA"/>
          <w:lang w:val="pl-PL"/>
        </w:rPr>
        <w:t xml:space="preserve"> częściej wystąpiły w grupie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po wszczepieniu soczewek 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 xml:space="preserve"> niż 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>, najmniejszą ich ilość zaobserwowano u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 po wszczepieniu soczewek </w:t>
      </w:r>
      <w:proofErr w:type="spellStart"/>
      <w:r w:rsidRPr="001154E8">
        <w:rPr>
          <w:rStyle w:val="BrakA"/>
          <w:lang w:val="pl-PL"/>
        </w:rPr>
        <w:t>Vivity</w:t>
      </w:r>
      <w:proofErr w:type="spellEnd"/>
      <w:r w:rsidRPr="001154E8">
        <w:rPr>
          <w:rStyle w:val="BrakA"/>
          <w:lang w:val="pl-PL"/>
        </w:rPr>
        <w:t>. We wszystkich grupach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 uzyskano wysoką niezależność od okular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w, korekcja okularowa był</w:t>
      </w:r>
      <w:r>
        <w:rPr>
          <w:rStyle w:val="Brak"/>
          <w:lang w:val="it-IT"/>
        </w:rPr>
        <w:t>a u</w:t>
      </w:r>
      <w:proofErr w:type="spellStart"/>
      <w:r w:rsidRPr="001154E8">
        <w:rPr>
          <w:rStyle w:val="BrakA"/>
          <w:lang w:val="pl-PL"/>
        </w:rPr>
        <w:t>żywana</w:t>
      </w:r>
      <w:proofErr w:type="spellEnd"/>
      <w:r w:rsidRPr="001154E8">
        <w:rPr>
          <w:rStyle w:val="BrakA"/>
          <w:lang w:val="pl-PL"/>
        </w:rPr>
        <w:t xml:space="preserve"> tylko czasami do odczytywania drobnego druku przy gorszym oświetleniu. Pacjenci odpowiadając na pytania zawarte w kwestionariuszach VF-14 oraz VFQ- 25 wykazywali wysoki poziom zadowolenia i satysfakcji z jakoś</w:t>
      </w:r>
      <w:r>
        <w:rPr>
          <w:rStyle w:val="Brak"/>
          <w:lang w:val="it-IT"/>
        </w:rPr>
        <w:t xml:space="preserve">ci </w:t>
      </w:r>
      <w:r w:rsidRPr="001154E8">
        <w:rPr>
          <w:rStyle w:val="BrakA"/>
          <w:lang w:val="pl-PL"/>
        </w:rPr>
        <w:t>życia po wszczepieniu wszystkich modeli implant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w.</w:t>
      </w:r>
    </w:p>
    <w:p w14:paraId="3F6E18C6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DB92CC2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154E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Wnioski: </w:t>
      </w:r>
    </w:p>
    <w:p w14:paraId="43F6FD98" w14:textId="77777777" w:rsidR="00475A15" w:rsidRPr="001154E8" w:rsidRDefault="00475A15" w:rsidP="00475A15">
      <w:pPr>
        <w:pStyle w:val="tekst"/>
        <w:rPr>
          <w:rStyle w:val="BrakA"/>
          <w:lang w:val="pl-PL"/>
        </w:rPr>
      </w:pPr>
      <w:r w:rsidRPr="001154E8">
        <w:rPr>
          <w:rStyle w:val="BrakA"/>
          <w:lang w:val="pl-PL"/>
        </w:rPr>
        <w:t xml:space="preserve">Soczewki o wydłużonej ogniskowej </w:t>
      </w:r>
      <w:proofErr w:type="spellStart"/>
      <w:r w:rsidRPr="001154E8">
        <w:rPr>
          <w:rStyle w:val="BrakA"/>
          <w:lang w:val="pl-PL"/>
        </w:rPr>
        <w:t>zar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wno</w:t>
      </w:r>
      <w:proofErr w:type="spellEnd"/>
      <w:r w:rsidRPr="001154E8">
        <w:rPr>
          <w:rStyle w:val="BrakA"/>
          <w:lang w:val="pl-PL"/>
        </w:rPr>
        <w:t xml:space="preserve"> dyfrakcyjne (</w:t>
      </w:r>
      <w:proofErr w:type="spellStart"/>
      <w:r w:rsidRPr="001154E8">
        <w:rPr>
          <w:rStyle w:val="BrakA"/>
          <w:lang w:val="pl-PL"/>
        </w:rPr>
        <w:t>Symfony</w:t>
      </w:r>
      <w:proofErr w:type="spellEnd"/>
      <w:r w:rsidRPr="001154E8">
        <w:rPr>
          <w:rStyle w:val="BrakA"/>
          <w:lang w:val="pl-PL"/>
        </w:rPr>
        <w:t xml:space="preserve">) jak i niedyfrakcyjne (Mini </w:t>
      </w:r>
      <w:proofErr w:type="spellStart"/>
      <w:r w:rsidRPr="001154E8">
        <w:rPr>
          <w:rStyle w:val="BrakA"/>
          <w:lang w:val="pl-PL"/>
        </w:rPr>
        <w:t>Well</w:t>
      </w:r>
      <w:proofErr w:type="spellEnd"/>
      <w:r w:rsidRPr="001154E8">
        <w:rPr>
          <w:rStyle w:val="BrakA"/>
          <w:lang w:val="pl-PL"/>
        </w:rPr>
        <w:t xml:space="preserve">, </w:t>
      </w:r>
      <w:proofErr w:type="spellStart"/>
      <w:r w:rsidRPr="001154E8">
        <w:rPr>
          <w:rStyle w:val="BrakA"/>
          <w:lang w:val="pl-PL"/>
        </w:rPr>
        <w:t>Vivity</w:t>
      </w:r>
      <w:proofErr w:type="spellEnd"/>
      <w:r w:rsidRPr="001154E8">
        <w:rPr>
          <w:rStyle w:val="BrakA"/>
          <w:lang w:val="pl-PL"/>
        </w:rPr>
        <w:t>) okazały się być bardzo dobrym rozwiązaniem dla pacjent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 xml:space="preserve">w, </w:t>
      </w:r>
      <w:proofErr w:type="spellStart"/>
      <w:r w:rsidRPr="001154E8">
        <w:rPr>
          <w:rStyle w:val="BrakA"/>
          <w:lang w:val="pl-PL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rzy</w:t>
      </w:r>
      <w:proofErr w:type="spellEnd"/>
      <w:r w:rsidRPr="001154E8">
        <w:rPr>
          <w:rStyle w:val="BrakA"/>
          <w:lang w:val="pl-PL"/>
        </w:rPr>
        <w:t xml:space="preserve"> prowadzą </w:t>
      </w:r>
      <w:r w:rsidRPr="001154E8">
        <w:rPr>
          <w:rStyle w:val="BrakA"/>
          <w:lang w:val="pl-PL"/>
        </w:rPr>
        <w:lastRenderedPageBreak/>
        <w:t>aktywny tryb życia, pracują zawodowo, a jednocześnie chcą uniezależnić się od okular</w:t>
      </w:r>
      <w:r>
        <w:rPr>
          <w:rStyle w:val="Brak"/>
          <w:lang w:val="es-ES_tradnl"/>
        </w:rPr>
        <w:t>ó</w:t>
      </w:r>
      <w:r w:rsidRPr="001154E8">
        <w:rPr>
          <w:rStyle w:val="BrakA"/>
          <w:lang w:val="pl-PL"/>
        </w:rPr>
        <w:t>w po operacji zaćmy. Mogą one być wszczepione u większej grupy ludzi w por</w:t>
      </w:r>
      <w:r>
        <w:rPr>
          <w:rStyle w:val="Brak"/>
          <w:lang w:val="es-ES_tradnl"/>
        </w:rPr>
        <w:t>ó</w:t>
      </w:r>
      <w:proofErr w:type="spellStart"/>
      <w:r w:rsidRPr="001154E8">
        <w:rPr>
          <w:rStyle w:val="BrakA"/>
          <w:lang w:val="pl-PL"/>
        </w:rPr>
        <w:t>wnaniu</w:t>
      </w:r>
      <w:proofErr w:type="spellEnd"/>
      <w:r w:rsidRPr="001154E8">
        <w:rPr>
          <w:rStyle w:val="BrakA"/>
          <w:lang w:val="pl-PL"/>
        </w:rPr>
        <w:t xml:space="preserve"> do soczewek wieloogniskowych.</w:t>
      </w:r>
    </w:p>
    <w:p w14:paraId="756B9871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C41A4B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3170CE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C18C91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3A68B9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3D05714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A953E2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D03F916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77C817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43E103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1C14F1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5C4E20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2DDCAB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7776B0E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52D73E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185997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31B745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509B7E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6A3146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F1380D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7001A99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092B2E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CCA8E7A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C8C773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98342F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016CBC4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3C5C4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16C673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1C7DFE1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BE473C2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639BC16" w14:textId="77777777" w:rsidR="00475A15" w:rsidRPr="001154E8" w:rsidRDefault="00475A15" w:rsidP="00475A15">
      <w:pPr>
        <w:pStyle w:val="TreA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97E1D9" w14:textId="77777777" w:rsidR="00475A15" w:rsidRDefault="00475A15" w:rsidP="00475A15">
      <w:pPr>
        <w:pStyle w:val="tekst"/>
      </w:pPr>
    </w:p>
    <w:p w14:paraId="1512B428" w14:textId="377EC1A0" w:rsidR="00475A15" w:rsidRDefault="00475A15" w:rsidP="00475A15">
      <w:pPr>
        <w:spacing w:after="160" w:line="360" w:lineRule="auto"/>
        <w:rPr>
          <w:rStyle w:val="Brak"/>
          <w:rFonts w:ascii="Helvetica Neue" w:eastAsia="Helvetica Neue" w:hAnsi="Helvetica Neue" w:cs="Helvetica Neue"/>
          <w:sz w:val="22"/>
          <w:szCs w:val="22"/>
        </w:rPr>
      </w:pPr>
    </w:p>
    <w:p w14:paraId="09962333" w14:textId="77777777" w:rsidR="00475A15" w:rsidRDefault="00475A15" w:rsidP="00475A15">
      <w:pPr>
        <w:pStyle w:val="DomylneAA"/>
        <w:spacing w:before="0"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br/>
      </w:r>
    </w:p>
    <w:p w14:paraId="5FD105A3" w14:textId="77777777" w:rsidR="00475A15" w:rsidRDefault="00475A15" w:rsidP="00475A15">
      <w:pPr>
        <w:pStyle w:val="DomylneAA"/>
        <w:spacing w:before="0" w:line="360" w:lineRule="auto"/>
        <w:rPr>
          <w:rStyle w:val="Brak"/>
          <w:rFonts w:ascii="Times New Roman" w:eastAsia="Times New Roman" w:hAnsi="Times New Roman" w:cs="Times New Roman"/>
          <w:shd w:val="clear" w:color="auto" w:fill="FFFFFF"/>
        </w:rPr>
      </w:pPr>
    </w:p>
    <w:p w14:paraId="70D21B33" w14:textId="77777777" w:rsidR="00475A15" w:rsidRDefault="00475A15" w:rsidP="00475A15">
      <w:pPr>
        <w:pStyle w:val="DomylneAA"/>
        <w:spacing w:before="0" w:line="360" w:lineRule="auto"/>
        <w:rPr>
          <w:rStyle w:val="Brak"/>
          <w:rFonts w:ascii="Times New Roman" w:eastAsia="Times New Roman" w:hAnsi="Times New Roman" w:cs="Times New Roman"/>
        </w:rPr>
      </w:pPr>
    </w:p>
    <w:p w14:paraId="476A5D53" w14:textId="77777777" w:rsidR="00475A15" w:rsidRDefault="00475A15" w:rsidP="00475A15">
      <w:pPr>
        <w:pStyle w:val="DomylneBA"/>
        <w:spacing w:before="0" w:line="360" w:lineRule="auto"/>
        <w:rPr>
          <w:rStyle w:val="Brak"/>
          <w:rFonts w:ascii="Arial Unicode MS" w:hAnsi="Arial Unicode MS"/>
          <w:color w:val="5B616B"/>
          <w:sz w:val="32"/>
          <w:szCs w:val="32"/>
          <w:u w:color="5B616B"/>
          <w:shd w:val="clear" w:color="auto" w:fill="FFFFFF"/>
        </w:rPr>
      </w:pPr>
    </w:p>
    <w:p w14:paraId="568B2546" w14:textId="77777777" w:rsidR="00475A15" w:rsidRDefault="00475A15" w:rsidP="00475A15">
      <w:pPr>
        <w:pStyle w:val="DomylneAA"/>
        <w:spacing w:before="0" w:line="360" w:lineRule="auto"/>
        <w:rPr>
          <w:rStyle w:val="Brak"/>
          <w:rFonts w:ascii="Times New Roman" w:eastAsia="Times New Roman" w:hAnsi="Times New Roman" w:cs="Times New Roman"/>
        </w:rPr>
      </w:pPr>
    </w:p>
    <w:p w14:paraId="3321CC64" w14:textId="77777777" w:rsidR="00475A15" w:rsidRDefault="00475A15" w:rsidP="00475A15">
      <w:pPr>
        <w:pStyle w:val="DomylneAA"/>
        <w:spacing w:before="0" w:line="360" w:lineRule="auto"/>
        <w:rPr>
          <w:rFonts w:hint="eastAsia"/>
        </w:rPr>
      </w:pPr>
    </w:p>
    <w:p w14:paraId="0FEB6EFA" w14:textId="77777777" w:rsidR="000C5096" w:rsidRDefault="000C5096"/>
    <w:sectPr w:rsidR="000C5096" w:rsidSect="00475A15">
      <w:headerReference w:type="default" r:id="rId5"/>
      <w:headerReference w:type="first" r:id="rId6"/>
      <w:pgSz w:w="11900" w:h="16840"/>
      <w:pgMar w:top="1134" w:right="1134" w:bottom="1134" w:left="1134" w:header="709" w:footer="85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9BE3" w14:textId="77777777" w:rsidR="00475A15" w:rsidRDefault="00475A15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C64C9" w14:textId="77777777" w:rsidR="00475A15" w:rsidRDefault="00475A1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05CFE"/>
    <w:multiLevelType w:val="hybridMultilevel"/>
    <w:tmpl w:val="BAACEBA6"/>
    <w:numStyleLink w:val="Zaimportowanystyl3"/>
  </w:abstractNum>
  <w:abstractNum w:abstractNumId="1" w15:restartNumberingAfterBreak="0">
    <w:nsid w:val="120E61DC"/>
    <w:multiLevelType w:val="hybridMultilevel"/>
    <w:tmpl w:val="A754D04E"/>
    <w:numStyleLink w:val="Zaimportowanystyl1"/>
  </w:abstractNum>
  <w:abstractNum w:abstractNumId="2" w15:restartNumberingAfterBreak="0">
    <w:nsid w:val="3AE6411E"/>
    <w:multiLevelType w:val="hybridMultilevel"/>
    <w:tmpl w:val="A754D04E"/>
    <w:styleLink w:val="Zaimportowanystyl1"/>
    <w:lvl w:ilvl="0" w:tplc="B5D087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2D3A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367A9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A4DE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AADD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E833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2A4E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245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8BB7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C97692"/>
    <w:multiLevelType w:val="hybridMultilevel"/>
    <w:tmpl w:val="D92C022C"/>
    <w:numStyleLink w:val="Zaimportowanystyl2"/>
  </w:abstractNum>
  <w:abstractNum w:abstractNumId="4" w15:restartNumberingAfterBreak="0">
    <w:nsid w:val="6F5F5AB0"/>
    <w:multiLevelType w:val="hybridMultilevel"/>
    <w:tmpl w:val="D92C022C"/>
    <w:styleLink w:val="Zaimportowanystyl2"/>
    <w:lvl w:ilvl="0" w:tplc="C5001602">
      <w:start w:val="1"/>
      <w:numFmt w:val="bullet"/>
      <w:lvlText w:val="-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2E4220">
      <w:start w:val="1"/>
      <w:numFmt w:val="bullet"/>
      <w:lvlText w:val="-"/>
      <w:lvlJc w:val="left"/>
      <w:pPr>
        <w:ind w:left="1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4D7AA">
      <w:start w:val="1"/>
      <w:numFmt w:val="bullet"/>
      <w:lvlText w:val="-"/>
      <w:lvlJc w:val="left"/>
      <w:pPr>
        <w:ind w:left="21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92298A">
      <w:start w:val="1"/>
      <w:numFmt w:val="bullet"/>
      <w:lvlText w:val="-"/>
      <w:lvlJc w:val="left"/>
      <w:pPr>
        <w:ind w:left="27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24E92">
      <w:start w:val="1"/>
      <w:numFmt w:val="bullet"/>
      <w:lvlText w:val="-"/>
      <w:lvlJc w:val="left"/>
      <w:pPr>
        <w:ind w:left="33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604FCE">
      <w:start w:val="1"/>
      <w:numFmt w:val="bullet"/>
      <w:lvlText w:val="-"/>
      <w:lvlJc w:val="left"/>
      <w:pPr>
        <w:ind w:left="3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525932">
      <w:start w:val="1"/>
      <w:numFmt w:val="bullet"/>
      <w:lvlText w:val="-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A6360">
      <w:start w:val="1"/>
      <w:numFmt w:val="bullet"/>
      <w:lvlText w:val="-"/>
      <w:lvlJc w:val="left"/>
      <w:pPr>
        <w:ind w:left="51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E4B184">
      <w:start w:val="1"/>
      <w:numFmt w:val="bullet"/>
      <w:lvlText w:val="-"/>
      <w:lvlJc w:val="left"/>
      <w:pPr>
        <w:ind w:left="57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2D14DC"/>
    <w:multiLevelType w:val="hybridMultilevel"/>
    <w:tmpl w:val="BAACEBA6"/>
    <w:styleLink w:val="Zaimportowanystyl3"/>
    <w:lvl w:ilvl="0" w:tplc="05169BE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0A896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96D2E0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0AB65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E966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F85D32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98F98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64200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C613A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48587573">
    <w:abstractNumId w:val="2"/>
  </w:num>
  <w:num w:numId="2" w16cid:durableId="1918130280">
    <w:abstractNumId w:val="1"/>
  </w:num>
  <w:num w:numId="3" w16cid:durableId="478350283">
    <w:abstractNumId w:val="4"/>
  </w:num>
  <w:num w:numId="4" w16cid:durableId="1382359731">
    <w:abstractNumId w:val="3"/>
  </w:num>
  <w:num w:numId="5" w16cid:durableId="247735736">
    <w:abstractNumId w:val="5"/>
  </w:num>
  <w:num w:numId="6" w16cid:durableId="11001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96"/>
    <w:rsid w:val="000C5096"/>
    <w:rsid w:val="004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CE19"/>
  <w15:chartTrackingRefBased/>
  <w15:docId w15:val="{F59D5E31-1701-46C2-867E-67179E0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A1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75A1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75A1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styleId="Hipercze">
    <w:name w:val="Hyperlink"/>
    <w:rsid w:val="00475A15"/>
    <w:rPr>
      <w:u w:val="single"/>
    </w:rPr>
  </w:style>
  <w:style w:type="table" w:customStyle="1" w:styleId="TableNormal">
    <w:name w:val="Table Normal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75A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ligatures w14:val="none"/>
    </w:rPr>
  </w:style>
  <w:style w:type="paragraph" w:styleId="Stopka">
    <w:name w:val="footer"/>
    <w:link w:val="StopkaZnak"/>
    <w:rsid w:val="00475A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StopkaZnak">
    <w:name w:val="Stopka Znak"/>
    <w:basedOn w:val="Domylnaczcionkaakapitu"/>
    <w:link w:val="Stopka"/>
    <w:rsid w:val="00475A15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BrakA">
    <w:name w:val="Brak A"/>
    <w:rsid w:val="00475A15"/>
  </w:style>
  <w:style w:type="paragraph" w:customStyle="1" w:styleId="TreA">
    <w:name w:val="Treść A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14:ligatures w14:val="none"/>
    </w:rPr>
  </w:style>
  <w:style w:type="paragraph" w:customStyle="1" w:styleId="tekst">
    <w:name w:val="tekst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Hyperlink3">
    <w:name w:val="Hyperlink.3"/>
    <w:rsid w:val="00475A15"/>
    <w:rPr>
      <w:lang w:val="en-US"/>
    </w:rPr>
  </w:style>
  <w:style w:type="numbering" w:customStyle="1" w:styleId="Zaimportowanystyl1">
    <w:name w:val="Zaimportowany styl 1"/>
    <w:rsid w:val="00475A15"/>
    <w:pPr>
      <w:numPr>
        <w:numId w:val="1"/>
      </w:numPr>
    </w:pPr>
  </w:style>
  <w:style w:type="paragraph" w:customStyle="1" w:styleId="TreB">
    <w:name w:val="Treść B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Brak">
    <w:name w:val="Brak"/>
    <w:rsid w:val="00475A15"/>
  </w:style>
  <w:style w:type="character" w:customStyle="1" w:styleId="Hyperlink0">
    <w:name w:val="Hyperlink.0"/>
    <w:basedOn w:val="Brak"/>
    <w:rsid w:val="00475A15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paragraph" w:styleId="Spistreci1">
    <w:name w:val="toc 1"/>
    <w:rsid w:val="00475A1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paragraph" w:styleId="Spistreci2">
    <w:name w:val="toc 2"/>
    <w:rsid w:val="00475A1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0" w:line="360" w:lineRule="auto"/>
      <w:ind w:left="240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paragraph" w:styleId="Spistreci3">
    <w:name w:val="toc 3"/>
    <w:rsid w:val="00475A1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0" w:line="360" w:lineRule="auto"/>
      <w:ind w:left="480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nagl">
    <w:name w:val="nagl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omylneA">
    <w:name w:val="Domyślne A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u w:color="000000"/>
      <w:bdr w:val="nil"/>
      <w:lang w:val="de-DE"/>
      <w14:ligatures w14:val="none"/>
    </w:rPr>
  </w:style>
  <w:style w:type="paragraph" w:customStyle="1" w:styleId="ryss">
    <w:name w:val="ryss"/>
    <w:rsid w:val="00475A1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omylneAA">
    <w:name w:val="Domyślne A A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Hyperlink2">
    <w:name w:val="Hyperlink.2"/>
    <w:rsid w:val="00475A15"/>
    <w:rPr>
      <w:shd w:val="clear" w:color="auto" w:fill="FFFFFF"/>
      <w:lang w:val="nl-NL"/>
    </w:rPr>
  </w:style>
  <w:style w:type="paragraph" w:customStyle="1" w:styleId="Styl1">
    <w:name w:val="Styl1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shd w:val="clear" w:color="auto" w:fill="FFFFFF"/>
      <w14:ligatures w14:val="none"/>
    </w:rPr>
  </w:style>
  <w:style w:type="numbering" w:customStyle="1" w:styleId="Zaimportowanystyl2">
    <w:name w:val="Zaimportowany styl 2"/>
    <w:rsid w:val="00475A15"/>
    <w:pPr>
      <w:numPr>
        <w:numId w:val="3"/>
      </w:numPr>
    </w:pPr>
  </w:style>
  <w:style w:type="character" w:customStyle="1" w:styleId="Hyperlink1">
    <w:name w:val="Hyperlink.1"/>
    <w:basedOn w:val="Brak"/>
    <w:rsid w:val="00475A15"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DomylneB">
    <w:name w:val="Domyślne B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u w:color="000000"/>
      <w:bdr w:val="nil"/>
      <w14:ligatures w14:val="none"/>
    </w:rPr>
  </w:style>
  <w:style w:type="numbering" w:customStyle="1" w:styleId="Zaimportowanystyl3">
    <w:name w:val="Zaimportowany styl 3"/>
    <w:rsid w:val="00475A15"/>
    <w:pPr>
      <w:numPr>
        <w:numId w:val="5"/>
      </w:numPr>
    </w:pPr>
  </w:style>
  <w:style w:type="paragraph" w:customStyle="1" w:styleId="DomylneBA">
    <w:name w:val="Domyślne B A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Hyperlink4">
    <w:name w:val="Hyperlink.4"/>
    <w:basedOn w:val="Brak"/>
    <w:rsid w:val="00475A1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pisilustracji">
    <w:name w:val="table of figures"/>
    <w:next w:val="Normalny"/>
    <w:rsid w:val="0047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Hyperlink5">
    <w:name w:val="Hyperlink.5"/>
    <w:basedOn w:val="Brak"/>
    <w:rsid w:val="00475A15"/>
    <w:rPr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semiHidden/>
    <w:unhideWhenUsed/>
    <w:rsid w:val="0047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15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5A1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A15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Nowik</dc:creator>
  <cp:keywords/>
  <dc:description/>
  <cp:lastModifiedBy>Kamil Nowik</cp:lastModifiedBy>
  <cp:revision>2</cp:revision>
  <dcterms:created xsi:type="dcterms:W3CDTF">2024-04-29T09:34:00Z</dcterms:created>
  <dcterms:modified xsi:type="dcterms:W3CDTF">2024-04-29T09:34:00Z</dcterms:modified>
</cp:coreProperties>
</file>