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53BAF" w14:textId="77777777" w:rsidR="00DF626F" w:rsidRPr="00DF626F" w:rsidRDefault="00DF626F" w:rsidP="00DF626F">
      <w:pPr>
        <w:spacing w:line="259" w:lineRule="auto"/>
        <w:jc w:val="center"/>
        <w:rPr>
          <w:rFonts w:ascii="Times New Roman" w:eastAsia="Calibri" w:hAnsi="Times New Roman" w:cs="Times New Roman"/>
          <w:b/>
          <w:sz w:val="32"/>
          <w:szCs w:val="32"/>
          <w14:ligatures w14:val="none"/>
        </w:rPr>
      </w:pPr>
      <w:bookmarkStart w:id="0" w:name="_Toc163813083"/>
      <w:r w:rsidRPr="00DF626F">
        <w:rPr>
          <w:rFonts w:ascii="Times New Roman" w:eastAsia="Calibri" w:hAnsi="Times New Roman" w:cs="Times New Roman"/>
          <w:b/>
          <w:sz w:val="32"/>
          <w:szCs w:val="32"/>
          <w14:ligatures w14:val="none"/>
        </w:rPr>
        <w:t>lek. Marta Fudalej</w:t>
      </w:r>
    </w:p>
    <w:p w14:paraId="7D0FAB19" w14:textId="77777777" w:rsidR="00DF626F" w:rsidRPr="00DF626F" w:rsidRDefault="00DF626F" w:rsidP="00DF626F">
      <w:pPr>
        <w:spacing w:line="259" w:lineRule="auto"/>
        <w:jc w:val="center"/>
        <w:rPr>
          <w:rFonts w:ascii="Times New Roman" w:eastAsia="Calibri" w:hAnsi="Times New Roman" w:cs="Times New Roman"/>
          <w:b/>
          <w:sz w:val="32"/>
          <w:szCs w:val="32"/>
          <w14:ligatures w14:val="none"/>
        </w:rPr>
      </w:pPr>
    </w:p>
    <w:p w14:paraId="5D23C7F4" w14:textId="77777777" w:rsidR="00DF626F" w:rsidRPr="00DF626F" w:rsidRDefault="00DF626F" w:rsidP="00DF626F">
      <w:pPr>
        <w:spacing w:after="0" w:line="240" w:lineRule="auto"/>
        <w:jc w:val="center"/>
        <w:rPr>
          <w:rFonts w:ascii="Times New Roman" w:eastAsia="Calibri" w:hAnsi="Times New Roman" w:cs="Times New Roman"/>
          <w:b/>
          <w:bCs/>
          <w:sz w:val="32"/>
          <w:szCs w:val="32"/>
          <w14:ligatures w14:val="none"/>
        </w:rPr>
      </w:pPr>
      <w:bookmarkStart w:id="1" w:name="_Hlk157163969"/>
      <w:r w:rsidRPr="00DF626F">
        <w:rPr>
          <w:rFonts w:ascii="Times New Roman" w:eastAsia="Calibri" w:hAnsi="Times New Roman" w:cs="Times New Roman"/>
          <w:b/>
          <w:bCs/>
          <w:sz w:val="32"/>
          <w:szCs w:val="32"/>
          <w14:ligatures w14:val="none"/>
        </w:rPr>
        <w:t>Ocena prognostycznej wartości wybranych czynników klinicznych i patomorfologicznych w grupie pacjentów</w:t>
      </w:r>
    </w:p>
    <w:p w14:paraId="40BACECE" w14:textId="77777777" w:rsidR="00DF626F" w:rsidRPr="00DF626F" w:rsidRDefault="00DF626F" w:rsidP="00DF626F">
      <w:pPr>
        <w:spacing w:after="0" w:line="240" w:lineRule="auto"/>
        <w:jc w:val="center"/>
        <w:rPr>
          <w:rFonts w:ascii="Times New Roman" w:eastAsia="Calibri" w:hAnsi="Times New Roman" w:cs="Times New Roman"/>
          <w:b/>
          <w:bCs/>
          <w:sz w:val="32"/>
          <w:szCs w:val="32"/>
          <w14:ligatures w14:val="none"/>
        </w:rPr>
      </w:pPr>
      <w:r w:rsidRPr="00DF626F">
        <w:rPr>
          <w:rFonts w:ascii="Times New Roman" w:eastAsia="Calibri" w:hAnsi="Times New Roman" w:cs="Times New Roman"/>
          <w:b/>
          <w:bCs/>
          <w:sz w:val="32"/>
          <w:szCs w:val="32"/>
          <w14:ligatures w14:val="none"/>
        </w:rPr>
        <w:t>z rozpoznaniem raka trzustki</w:t>
      </w:r>
    </w:p>
    <w:bookmarkEnd w:id="1"/>
    <w:p w14:paraId="599C95A4" w14:textId="77777777" w:rsidR="00DF626F" w:rsidRPr="00DF626F" w:rsidRDefault="00DF626F" w:rsidP="00DF626F">
      <w:pPr>
        <w:tabs>
          <w:tab w:val="left" w:pos="2010"/>
        </w:tabs>
        <w:spacing w:line="259" w:lineRule="auto"/>
        <w:rPr>
          <w:rFonts w:ascii="Times New Roman" w:eastAsia="Calibri" w:hAnsi="Times New Roman" w:cs="Times New Roman"/>
          <w:sz w:val="20"/>
          <w:szCs w:val="20"/>
          <w14:ligatures w14:val="none"/>
        </w:rPr>
      </w:pPr>
    </w:p>
    <w:p w14:paraId="6725A87D" w14:textId="77777777" w:rsidR="00DF626F" w:rsidRPr="00DF626F" w:rsidRDefault="00DF626F" w:rsidP="00DF626F">
      <w:pPr>
        <w:tabs>
          <w:tab w:val="left" w:pos="2010"/>
        </w:tabs>
        <w:spacing w:line="240" w:lineRule="auto"/>
        <w:jc w:val="center"/>
        <w:rPr>
          <w:rFonts w:ascii="Times New Roman" w:eastAsia="Calibri" w:hAnsi="Times New Roman" w:cs="Times New Roman"/>
          <w:b/>
          <w:sz w:val="28"/>
          <w:szCs w:val="28"/>
          <w14:ligatures w14:val="none"/>
        </w:rPr>
      </w:pPr>
      <w:r w:rsidRPr="00DF626F">
        <w:rPr>
          <w:rFonts w:ascii="Times New Roman" w:eastAsia="Calibri" w:hAnsi="Times New Roman" w:cs="Times New Roman"/>
          <w:b/>
          <w:sz w:val="28"/>
          <w:szCs w:val="28"/>
          <w14:ligatures w14:val="none"/>
        </w:rPr>
        <w:t>Rozprawa na stopień doktora nauk medycznych</w:t>
      </w:r>
      <w:r w:rsidRPr="00DF626F">
        <w:rPr>
          <w:rFonts w:ascii="Times New Roman" w:eastAsia="Calibri" w:hAnsi="Times New Roman" w:cs="Times New Roman"/>
          <w:sz w:val="22"/>
          <w:szCs w:val="22"/>
          <w14:ligatures w14:val="none"/>
        </w:rPr>
        <w:t xml:space="preserve"> </w:t>
      </w:r>
      <w:r w:rsidRPr="00DF626F">
        <w:rPr>
          <w:rFonts w:ascii="Times New Roman" w:eastAsia="Calibri" w:hAnsi="Times New Roman" w:cs="Times New Roman"/>
          <w:b/>
          <w:sz w:val="28"/>
          <w:szCs w:val="28"/>
          <w14:ligatures w14:val="none"/>
        </w:rPr>
        <w:t>i nauk o zdrowiu</w:t>
      </w:r>
    </w:p>
    <w:p w14:paraId="2ABDC38A" w14:textId="77777777" w:rsidR="00DF626F" w:rsidRPr="00DF626F" w:rsidRDefault="00DF626F" w:rsidP="00DF626F">
      <w:pPr>
        <w:tabs>
          <w:tab w:val="left" w:pos="2010"/>
        </w:tabs>
        <w:spacing w:line="240" w:lineRule="auto"/>
        <w:jc w:val="center"/>
        <w:rPr>
          <w:rFonts w:ascii="Times New Roman" w:eastAsia="Calibri" w:hAnsi="Times New Roman" w:cs="Times New Roman"/>
          <w:b/>
          <w:sz w:val="28"/>
          <w:szCs w:val="28"/>
          <w14:ligatures w14:val="none"/>
        </w:rPr>
      </w:pPr>
      <w:r w:rsidRPr="00DF626F">
        <w:rPr>
          <w:rFonts w:ascii="Times New Roman" w:eastAsia="Calibri" w:hAnsi="Times New Roman" w:cs="Times New Roman"/>
          <w:b/>
          <w:sz w:val="28"/>
          <w:szCs w:val="28"/>
          <w14:ligatures w14:val="none"/>
        </w:rPr>
        <w:t>w dyscyplinie nauki medyczne</w:t>
      </w:r>
    </w:p>
    <w:p w14:paraId="4D034FD6" w14:textId="77777777" w:rsidR="00DF626F" w:rsidRPr="00DF626F" w:rsidRDefault="00DF626F" w:rsidP="00DF626F">
      <w:pPr>
        <w:tabs>
          <w:tab w:val="left" w:pos="2010"/>
        </w:tabs>
        <w:spacing w:line="240" w:lineRule="auto"/>
        <w:jc w:val="center"/>
        <w:rPr>
          <w:rFonts w:ascii="Times New Roman" w:eastAsia="Calibri" w:hAnsi="Times New Roman" w:cs="Times New Roman"/>
          <w:sz w:val="16"/>
          <w:szCs w:val="16"/>
          <w14:ligatures w14:val="none"/>
        </w:rPr>
      </w:pPr>
    </w:p>
    <w:p w14:paraId="131AA241" w14:textId="77777777" w:rsidR="00DF626F" w:rsidRPr="00DF626F" w:rsidRDefault="00DF626F" w:rsidP="00DF626F">
      <w:pPr>
        <w:tabs>
          <w:tab w:val="left" w:pos="2010"/>
        </w:tabs>
        <w:spacing w:line="259" w:lineRule="auto"/>
        <w:jc w:val="center"/>
        <w:rPr>
          <w:rFonts w:ascii="Times New Roman" w:eastAsia="Calibri" w:hAnsi="Times New Roman" w:cs="Times New Roman"/>
          <w:sz w:val="28"/>
          <w:szCs w:val="28"/>
          <w14:ligatures w14:val="none"/>
        </w:rPr>
      </w:pPr>
      <w:r w:rsidRPr="00DF626F">
        <w:rPr>
          <w:rFonts w:ascii="Times New Roman" w:eastAsia="Calibri" w:hAnsi="Times New Roman" w:cs="Times New Roman"/>
          <w:sz w:val="28"/>
          <w:szCs w:val="28"/>
          <w14:ligatures w14:val="none"/>
        </w:rPr>
        <w:t>Promotor: prof. dr hab. n. med. i n. o zdr. Anna Badowska-Kozakiewicz</w:t>
      </w:r>
    </w:p>
    <w:p w14:paraId="7FCF6576" w14:textId="77777777" w:rsidR="00DF626F" w:rsidRPr="00DF626F" w:rsidRDefault="00DF626F" w:rsidP="00DF626F">
      <w:pPr>
        <w:tabs>
          <w:tab w:val="left" w:pos="2010"/>
        </w:tabs>
        <w:spacing w:line="259" w:lineRule="auto"/>
        <w:jc w:val="center"/>
        <w:rPr>
          <w:rFonts w:ascii="Times New Roman" w:eastAsia="Calibri" w:hAnsi="Times New Roman" w:cs="Times New Roman"/>
          <w:sz w:val="28"/>
          <w:szCs w:val="28"/>
          <w14:ligatures w14:val="none"/>
        </w:rPr>
      </w:pPr>
    </w:p>
    <w:p w14:paraId="52745581" w14:textId="77777777" w:rsidR="00DF626F" w:rsidRPr="00DF626F" w:rsidRDefault="00DF626F" w:rsidP="00DF626F">
      <w:pPr>
        <w:tabs>
          <w:tab w:val="left" w:pos="2010"/>
        </w:tabs>
        <w:spacing w:line="259" w:lineRule="auto"/>
        <w:jc w:val="center"/>
        <w:rPr>
          <w:rFonts w:ascii="Times New Roman" w:eastAsia="Calibri" w:hAnsi="Times New Roman" w:cs="Times New Roman"/>
          <w:sz w:val="28"/>
          <w:szCs w:val="28"/>
          <w14:ligatures w14:val="none"/>
        </w:rPr>
      </w:pPr>
    </w:p>
    <w:p w14:paraId="54011698" w14:textId="77777777" w:rsidR="00DF626F" w:rsidRPr="00DF626F" w:rsidRDefault="00DF626F" w:rsidP="00DF626F">
      <w:pPr>
        <w:tabs>
          <w:tab w:val="left" w:pos="2010"/>
        </w:tabs>
        <w:spacing w:line="259" w:lineRule="auto"/>
        <w:jc w:val="center"/>
        <w:rPr>
          <w:rFonts w:ascii="Times New Roman" w:eastAsia="Calibri" w:hAnsi="Times New Roman" w:cs="Times New Roman"/>
          <w:sz w:val="28"/>
          <w:szCs w:val="28"/>
          <w14:ligatures w14:val="none"/>
        </w:rPr>
      </w:pPr>
      <w:r w:rsidRPr="00DF626F">
        <w:rPr>
          <w:rFonts w:ascii="Times New Roman" w:eastAsia="Calibri" w:hAnsi="Times New Roman" w:cs="Times New Roman"/>
          <w:sz w:val="28"/>
          <w:szCs w:val="28"/>
          <w14:ligatures w14:val="none"/>
        </w:rPr>
        <w:t>Zakład Propedeutyki Onkologicznej</w:t>
      </w:r>
    </w:p>
    <w:p w14:paraId="48CCB22A" w14:textId="77777777" w:rsidR="00DF626F" w:rsidRPr="00DF626F" w:rsidRDefault="00DF626F" w:rsidP="00DF626F">
      <w:pPr>
        <w:tabs>
          <w:tab w:val="left" w:pos="2010"/>
        </w:tabs>
        <w:spacing w:line="259" w:lineRule="auto"/>
        <w:jc w:val="center"/>
        <w:rPr>
          <w:rFonts w:ascii="Times New Roman" w:eastAsia="Calibri" w:hAnsi="Times New Roman" w:cs="Times New Roman"/>
          <w:sz w:val="28"/>
          <w:szCs w:val="28"/>
          <w14:ligatures w14:val="none"/>
        </w:rPr>
      </w:pPr>
      <w:r w:rsidRPr="00DF626F">
        <w:rPr>
          <w:rFonts w:ascii="Times New Roman" w:eastAsia="Calibri" w:hAnsi="Times New Roman" w:cs="Times New Roman"/>
          <w:sz w:val="28"/>
          <w:szCs w:val="28"/>
          <w14:ligatures w14:val="none"/>
        </w:rPr>
        <w:t>Warszawskiego Uniwersytetu Medycznego</w:t>
      </w:r>
    </w:p>
    <w:p w14:paraId="6FDBD324" w14:textId="77777777" w:rsidR="00DF626F" w:rsidRPr="00DF626F" w:rsidRDefault="00DF626F" w:rsidP="00DF626F">
      <w:pPr>
        <w:tabs>
          <w:tab w:val="left" w:pos="2010"/>
        </w:tabs>
        <w:spacing w:line="259" w:lineRule="auto"/>
        <w:rPr>
          <w:rFonts w:ascii="Times New Roman" w:eastAsia="Calibri" w:hAnsi="Times New Roman" w:cs="Times New Roman"/>
          <w:sz w:val="32"/>
          <w:szCs w:val="32"/>
          <w14:ligatures w14:val="none"/>
        </w:rPr>
      </w:pPr>
    </w:p>
    <w:p w14:paraId="5F3FFCC5" w14:textId="77777777" w:rsidR="00DF626F" w:rsidRPr="00DF626F" w:rsidRDefault="00DF626F" w:rsidP="00DF626F">
      <w:pPr>
        <w:tabs>
          <w:tab w:val="left" w:pos="2010"/>
        </w:tabs>
        <w:spacing w:line="259" w:lineRule="auto"/>
        <w:jc w:val="center"/>
        <w:rPr>
          <w:rFonts w:ascii="Times New Roman" w:eastAsia="Calibri" w:hAnsi="Times New Roman" w:cs="Times New Roman"/>
          <w:noProof/>
          <w:sz w:val="22"/>
          <w:szCs w:val="22"/>
          <w:lang w:eastAsia="pl-PL"/>
          <w14:ligatures w14:val="none"/>
        </w:rPr>
      </w:pPr>
      <w:r w:rsidRPr="00DF626F">
        <w:rPr>
          <w:rFonts w:ascii="Times New Roman" w:eastAsia="Calibri" w:hAnsi="Times New Roman" w:cs="Times New Roman"/>
          <w:noProof/>
          <w:sz w:val="22"/>
          <w:szCs w:val="22"/>
          <w:lang w:eastAsia="pl-PL"/>
          <w14:ligatures w14:val="none"/>
        </w:rPr>
        <w:drawing>
          <wp:inline distT="0" distB="0" distL="0" distR="0" wp14:anchorId="7E0CBD6B" wp14:editId="49CBB419">
            <wp:extent cx="1493520" cy="1424940"/>
            <wp:effectExtent l="0" t="0" r="0" b="3810"/>
            <wp:docPr id="2080744274" name="Obraz 1" descr="Obraz zawierający tekst, symbol, godło, herb&#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44274" name="Obraz 1" descr="Obraz zawierający tekst, symbol, godło, herb&#10;&#10;Opis wygenerowany automatyczn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1424940"/>
                    </a:xfrm>
                    <a:prstGeom prst="rect">
                      <a:avLst/>
                    </a:prstGeom>
                    <a:noFill/>
                    <a:ln>
                      <a:noFill/>
                    </a:ln>
                  </pic:spPr>
                </pic:pic>
              </a:graphicData>
            </a:graphic>
          </wp:inline>
        </w:drawing>
      </w:r>
    </w:p>
    <w:p w14:paraId="34D0F299" w14:textId="77777777" w:rsidR="00DF626F" w:rsidRPr="00DF626F" w:rsidRDefault="00DF626F" w:rsidP="00DF626F">
      <w:pPr>
        <w:tabs>
          <w:tab w:val="left" w:pos="2010"/>
        </w:tabs>
        <w:spacing w:line="259" w:lineRule="auto"/>
        <w:jc w:val="center"/>
        <w:rPr>
          <w:rFonts w:ascii="Times New Roman" w:eastAsia="Calibri" w:hAnsi="Times New Roman" w:cs="Times New Roman"/>
          <w:noProof/>
          <w:sz w:val="22"/>
          <w:szCs w:val="22"/>
          <w:lang w:eastAsia="pl-PL"/>
          <w14:ligatures w14:val="none"/>
        </w:rPr>
      </w:pPr>
    </w:p>
    <w:p w14:paraId="4EF7BA0A" w14:textId="77777777" w:rsidR="00DF626F" w:rsidRPr="00DF626F" w:rsidRDefault="00DF626F" w:rsidP="00DF626F">
      <w:pPr>
        <w:tabs>
          <w:tab w:val="left" w:pos="2010"/>
        </w:tabs>
        <w:spacing w:line="240" w:lineRule="auto"/>
        <w:jc w:val="center"/>
        <w:rPr>
          <w:rFonts w:ascii="Times New Roman" w:eastAsia="Calibri" w:hAnsi="Times New Roman" w:cs="Times New Roman"/>
          <w:sz w:val="28"/>
          <w:szCs w:val="28"/>
          <w14:ligatures w14:val="none"/>
        </w:rPr>
      </w:pPr>
      <w:r w:rsidRPr="00DF626F">
        <w:rPr>
          <w:rFonts w:ascii="Times New Roman" w:eastAsia="Calibri" w:hAnsi="Times New Roman" w:cs="Times New Roman"/>
          <w:sz w:val="28"/>
          <w:szCs w:val="28"/>
          <w14:ligatures w14:val="none"/>
        </w:rPr>
        <w:t>Obrona rozprawy doktorskiej przed Radą Dyscypliny Nauk Medycznych</w:t>
      </w:r>
    </w:p>
    <w:p w14:paraId="10A8DF09" w14:textId="77777777" w:rsidR="00DF626F" w:rsidRPr="00DF626F" w:rsidRDefault="00DF626F" w:rsidP="00DF626F">
      <w:pPr>
        <w:tabs>
          <w:tab w:val="left" w:pos="2010"/>
        </w:tabs>
        <w:spacing w:line="240" w:lineRule="auto"/>
        <w:jc w:val="center"/>
        <w:rPr>
          <w:rFonts w:ascii="Times New Roman" w:eastAsia="Calibri" w:hAnsi="Times New Roman" w:cs="Times New Roman"/>
          <w:sz w:val="28"/>
          <w:szCs w:val="28"/>
          <w14:ligatures w14:val="none"/>
        </w:rPr>
      </w:pPr>
      <w:r w:rsidRPr="00DF626F">
        <w:rPr>
          <w:rFonts w:ascii="Times New Roman" w:eastAsia="Calibri" w:hAnsi="Times New Roman" w:cs="Times New Roman"/>
          <w:sz w:val="28"/>
          <w:szCs w:val="28"/>
          <w14:ligatures w14:val="none"/>
        </w:rPr>
        <w:t>Warszawskiego Uniwersytetu Medycznego</w:t>
      </w:r>
    </w:p>
    <w:p w14:paraId="39812819" w14:textId="77777777" w:rsidR="00DF626F" w:rsidRPr="00DF626F" w:rsidRDefault="00DF626F" w:rsidP="00DF626F">
      <w:pPr>
        <w:tabs>
          <w:tab w:val="left" w:pos="2010"/>
        </w:tabs>
        <w:spacing w:line="259" w:lineRule="auto"/>
        <w:jc w:val="center"/>
        <w:rPr>
          <w:rFonts w:ascii="Times New Roman" w:eastAsia="Calibri" w:hAnsi="Times New Roman" w:cs="Times New Roman"/>
          <w:sz w:val="36"/>
          <w:szCs w:val="36"/>
          <w14:ligatures w14:val="none"/>
        </w:rPr>
      </w:pPr>
    </w:p>
    <w:p w14:paraId="2AEC1A07" w14:textId="77777777" w:rsidR="00DF626F" w:rsidRPr="00DF626F" w:rsidRDefault="00DF626F" w:rsidP="00DF626F">
      <w:pPr>
        <w:tabs>
          <w:tab w:val="left" w:pos="2010"/>
        </w:tabs>
        <w:spacing w:line="259" w:lineRule="auto"/>
        <w:jc w:val="center"/>
        <w:rPr>
          <w:rFonts w:ascii="Times New Roman" w:eastAsia="Calibri" w:hAnsi="Times New Roman" w:cs="Times New Roman"/>
          <w:sz w:val="28"/>
          <w:szCs w:val="28"/>
          <w14:ligatures w14:val="none"/>
        </w:rPr>
      </w:pPr>
    </w:p>
    <w:p w14:paraId="3EAF5B4E" w14:textId="77777777" w:rsidR="00DF626F" w:rsidRPr="00DF626F" w:rsidRDefault="00DF626F" w:rsidP="00DF626F">
      <w:pPr>
        <w:tabs>
          <w:tab w:val="left" w:pos="2010"/>
        </w:tabs>
        <w:spacing w:line="259" w:lineRule="auto"/>
        <w:jc w:val="center"/>
        <w:rPr>
          <w:rFonts w:ascii="Times New Roman" w:eastAsia="Calibri" w:hAnsi="Times New Roman" w:cs="Times New Roman"/>
          <w:color w:val="FF0000"/>
          <w:sz w:val="28"/>
          <w:szCs w:val="28"/>
          <w14:ligatures w14:val="none"/>
        </w:rPr>
      </w:pPr>
      <w:r w:rsidRPr="00DF626F">
        <w:rPr>
          <w:rFonts w:ascii="Times New Roman" w:eastAsia="Calibri" w:hAnsi="Times New Roman" w:cs="Times New Roman"/>
          <w:sz w:val="28"/>
          <w:szCs w:val="28"/>
          <w14:ligatures w14:val="none"/>
        </w:rPr>
        <w:t>Warszawa 2024 r.</w:t>
      </w:r>
    </w:p>
    <w:p w14:paraId="684E943A" w14:textId="77777777" w:rsidR="00DF626F" w:rsidRPr="00DF626F" w:rsidRDefault="00DF626F" w:rsidP="00DF626F">
      <w:pPr>
        <w:spacing w:line="259" w:lineRule="auto"/>
        <w:jc w:val="center"/>
        <w:rPr>
          <w:rFonts w:ascii="Times New Roman" w:eastAsia="Calibri" w:hAnsi="Times New Roman" w:cs="Times New Roman"/>
          <w:sz w:val="32"/>
          <w:szCs w:val="32"/>
          <w14:ligatures w14:val="none"/>
        </w:rPr>
      </w:pPr>
    </w:p>
    <w:p w14:paraId="29996D8F" w14:textId="77777777" w:rsidR="00DF626F" w:rsidRPr="00DF626F" w:rsidRDefault="00DF626F" w:rsidP="00DF626F">
      <w:pPr>
        <w:spacing w:line="259" w:lineRule="auto"/>
        <w:jc w:val="center"/>
        <w:rPr>
          <w:rFonts w:ascii="Times New Roman" w:eastAsia="Calibri" w:hAnsi="Times New Roman" w:cs="Times New Roman"/>
          <w:sz w:val="32"/>
          <w:szCs w:val="32"/>
          <w14:ligatures w14:val="none"/>
        </w:rPr>
      </w:pPr>
    </w:p>
    <w:p w14:paraId="41B3BF96" w14:textId="77777777" w:rsidR="00DF626F" w:rsidRPr="00DF626F" w:rsidRDefault="00DF626F" w:rsidP="00DF626F">
      <w:pPr>
        <w:keepNext/>
        <w:keepLines/>
        <w:spacing w:after="0" w:line="360" w:lineRule="auto"/>
        <w:jc w:val="center"/>
        <w:outlineLvl w:val="0"/>
        <w:rPr>
          <w:rFonts w:ascii="Times New Roman" w:eastAsia="Times New Roman" w:hAnsi="Times New Roman" w:cs="Times New Roman"/>
          <w:b/>
          <w:color w:val="000000"/>
          <w:szCs w:val="32"/>
          <w14:ligatures w14:val="none"/>
        </w:rPr>
      </w:pPr>
      <w:r w:rsidRPr="00DF626F">
        <w:rPr>
          <w:rFonts w:ascii="Times New Roman" w:eastAsia="Times New Roman" w:hAnsi="Times New Roman" w:cs="Times New Roman"/>
          <w:b/>
          <w:color w:val="000000"/>
          <w:szCs w:val="32"/>
          <w14:ligatures w14:val="none"/>
        </w:rPr>
        <w:lastRenderedPageBreak/>
        <w:t>Streszczenie w języku polskim</w:t>
      </w:r>
      <w:bookmarkEnd w:id="0"/>
    </w:p>
    <w:p w14:paraId="27C9A726" w14:textId="77777777" w:rsidR="00DF626F" w:rsidRPr="00DF626F" w:rsidRDefault="00DF626F" w:rsidP="00DF626F">
      <w:pPr>
        <w:spacing w:after="0" w:line="360" w:lineRule="auto"/>
        <w:jc w:val="center"/>
        <w:rPr>
          <w:rFonts w:ascii="Times New Roman" w:eastAsia="Calibri" w:hAnsi="Times New Roman" w:cs="Times New Roman"/>
          <w:b/>
          <w:bCs/>
          <w14:ligatures w14:val="none"/>
        </w:rPr>
      </w:pPr>
    </w:p>
    <w:p w14:paraId="7E1E257B" w14:textId="77777777" w:rsidR="00DF626F" w:rsidRPr="00DF626F" w:rsidRDefault="00DF626F" w:rsidP="00DF626F">
      <w:pPr>
        <w:spacing w:after="0" w:line="360" w:lineRule="auto"/>
        <w:rPr>
          <w:rFonts w:ascii="Times New Roman" w:eastAsia="Calibri" w:hAnsi="Times New Roman" w:cs="Times New Roman"/>
          <w:b/>
          <w:bCs/>
          <w14:ligatures w14:val="none"/>
        </w:rPr>
      </w:pPr>
      <w:r w:rsidRPr="00DF626F">
        <w:rPr>
          <w:rFonts w:ascii="Times New Roman" w:eastAsia="Calibri" w:hAnsi="Times New Roman" w:cs="Times New Roman"/>
          <w:b/>
          <w:bCs/>
          <w14:ligatures w14:val="none"/>
        </w:rPr>
        <w:t>Wstęp</w:t>
      </w:r>
    </w:p>
    <w:p w14:paraId="6590E73A" w14:textId="77777777" w:rsidR="00DF626F" w:rsidRPr="00DF626F" w:rsidRDefault="00DF626F" w:rsidP="00DF626F">
      <w:pPr>
        <w:spacing w:after="0" w:line="360" w:lineRule="auto"/>
        <w:jc w:val="both"/>
        <w:rPr>
          <w:rFonts w:ascii="Times New Roman" w:eastAsia="Calibri" w:hAnsi="Times New Roman" w:cs="Times New Roman"/>
          <w:kern w:val="0"/>
          <w14:ligatures w14:val="none"/>
        </w:rPr>
      </w:pPr>
      <w:r w:rsidRPr="00DF626F">
        <w:rPr>
          <w:rFonts w:ascii="Times New Roman" w:eastAsia="Calibri" w:hAnsi="Times New Roman" w:cs="Times New Roman"/>
          <w:kern w:val="0"/>
          <w14:ligatures w14:val="none"/>
        </w:rPr>
        <w:t xml:space="preserve">Rak trzustki, według polskich danych statystycznych z 2021 roku, stanowi szóstą w kolejności przyczynę zgonów z powodu nowotworów złośliwych. Ten typ nowotworu cechuje niski 5 - letni współczynnik przeżycia nieprzekraczający 10%. Na złe rokowanie ma wpływ kilka czynników, m.in. brak specyficznych objawów oraz często obserwowana oporność na konwencjonalne leczenie. Jedynie około 20% przypadków raka trzustki rozpoznaje się w stadium, w którym możliwe jest przeprowadzenie doszczętnego zabiegu operacyjnego, wiążącego się z możliwością wyleczenia. </w:t>
      </w:r>
    </w:p>
    <w:p w14:paraId="03038C8B" w14:textId="77777777" w:rsidR="00DF626F" w:rsidRPr="00DF626F" w:rsidRDefault="00DF626F" w:rsidP="00DF626F">
      <w:pPr>
        <w:spacing w:after="0" w:line="360" w:lineRule="auto"/>
        <w:jc w:val="both"/>
        <w:rPr>
          <w:rFonts w:ascii="Times New Roman" w:eastAsia="Calibri" w:hAnsi="Times New Roman" w:cs="Times New Roman"/>
          <w:kern w:val="0"/>
          <w14:ligatures w14:val="none"/>
        </w:rPr>
      </w:pPr>
      <w:r w:rsidRPr="00DF626F">
        <w:rPr>
          <w:rFonts w:ascii="Times New Roman" w:eastAsia="Calibri" w:hAnsi="Times New Roman" w:cs="Times New Roman"/>
          <w:kern w:val="0"/>
          <w14:ligatures w14:val="none"/>
        </w:rPr>
        <w:t xml:space="preserve">Jednym z ważnych aspektów klinicznych pacjenta z rozpoznaniem raka trzustki jest współwystępowanie innych chorób. Stan ogólny pacjenta oraz choroby przewlekłe wpływają nie tylko na dobór odpowiednich strategii leczenia, lecz również mają związek z odpowiedzią na zastosowane leczenie onkologiczne oraz rokowaniem pacjenta. </w:t>
      </w:r>
    </w:p>
    <w:p w14:paraId="3A335643" w14:textId="77777777" w:rsidR="00DF626F" w:rsidRPr="00DF626F" w:rsidRDefault="00DF626F" w:rsidP="00DF626F">
      <w:pPr>
        <w:spacing w:after="0" w:line="360" w:lineRule="auto"/>
        <w:jc w:val="both"/>
        <w:rPr>
          <w:rFonts w:ascii="Times New Roman" w:eastAsia="Calibri" w:hAnsi="Times New Roman" w:cs="Times New Roman"/>
          <w:b/>
          <w:bCs/>
          <w14:ligatures w14:val="none"/>
        </w:rPr>
      </w:pPr>
    </w:p>
    <w:p w14:paraId="5E8110CC" w14:textId="77777777" w:rsidR="00DF626F" w:rsidRPr="00DF626F" w:rsidRDefault="00DF626F" w:rsidP="00DF626F">
      <w:pPr>
        <w:spacing w:after="0" w:line="360" w:lineRule="auto"/>
        <w:rPr>
          <w:rFonts w:ascii="Times New Roman" w:eastAsia="Calibri" w:hAnsi="Times New Roman" w:cs="Times New Roman"/>
          <w:b/>
          <w:bCs/>
          <w14:ligatures w14:val="none"/>
        </w:rPr>
      </w:pPr>
      <w:r w:rsidRPr="00DF626F">
        <w:rPr>
          <w:rFonts w:ascii="Times New Roman" w:eastAsia="Calibri" w:hAnsi="Times New Roman" w:cs="Times New Roman"/>
          <w:b/>
          <w:bCs/>
          <w14:ligatures w14:val="none"/>
        </w:rPr>
        <w:t xml:space="preserve">Cele rozprawy doktorskiej </w:t>
      </w:r>
    </w:p>
    <w:p w14:paraId="186E4564" w14:textId="77777777" w:rsidR="00DF626F" w:rsidRPr="00DF626F" w:rsidRDefault="00DF626F" w:rsidP="00DF626F">
      <w:pPr>
        <w:spacing w:after="0" w:line="360" w:lineRule="auto"/>
        <w:jc w:val="both"/>
        <w:rPr>
          <w:rFonts w:ascii="Times New Roman" w:eastAsia="Calibri" w:hAnsi="Times New Roman" w:cs="Times New Roman"/>
          <w:kern w:val="0"/>
          <w14:ligatures w14:val="none"/>
        </w:rPr>
      </w:pPr>
      <w:r w:rsidRPr="00DF626F">
        <w:rPr>
          <w:rFonts w:ascii="Times New Roman" w:eastAsia="Calibri" w:hAnsi="Times New Roman" w:cs="Times New Roman"/>
          <w:kern w:val="0"/>
          <w14:ligatures w14:val="none"/>
        </w:rPr>
        <w:t>Główny cel naukowy:</w:t>
      </w:r>
    </w:p>
    <w:p w14:paraId="5968DAA7" w14:textId="77777777" w:rsidR="00DF626F" w:rsidRPr="00DF626F" w:rsidRDefault="00DF626F" w:rsidP="00DF626F">
      <w:pPr>
        <w:spacing w:after="0" w:line="360" w:lineRule="auto"/>
        <w:jc w:val="both"/>
        <w:rPr>
          <w:rFonts w:ascii="Times New Roman" w:eastAsia="Calibri" w:hAnsi="Times New Roman" w:cs="Times New Roman"/>
          <w:kern w:val="0"/>
          <w14:ligatures w14:val="none"/>
        </w:rPr>
      </w:pPr>
      <w:r w:rsidRPr="00DF626F">
        <w:rPr>
          <w:rFonts w:ascii="Times New Roman" w:eastAsia="Calibri" w:hAnsi="Times New Roman" w:cs="Times New Roman"/>
          <w:kern w:val="0"/>
          <w14:ligatures w14:val="none"/>
        </w:rPr>
        <w:t>Identyfikacja czynników związanych z chorobami towarzyszącymi, które wpływają na rokowanie pacjentów z rozpoznaniem raka trzustki.</w:t>
      </w:r>
    </w:p>
    <w:p w14:paraId="269923E4" w14:textId="77777777" w:rsidR="00DF626F" w:rsidRPr="00DF626F" w:rsidRDefault="00DF626F" w:rsidP="00DF626F">
      <w:pPr>
        <w:spacing w:after="0" w:line="360" w:lineRule="auto"/>
        <w:jc w:val="both"/>
        <w:rPr>
          <w:rFonts w:ascii="Times New Roman" w:eastAsia="Calibri" w:hAnsi="Times New Roman" w:cs="Times New Roman"/>
          <w:kern w:val="0"/>
          <w14:ligatures w14:val="none"/>
        </w:rPr>
      </w:pPr>
    </w:p>
    <w:p w14:paraId="5C02B8E5" w14:textId="77777777" w:rsidR="00DF626F" w:rsidRPr="00DF626F" w:rsidRDefault="00DF626F" w:rsidP="00DF626F">
      <w:pPr>
        <w:spacing w:after="0" w:line="360" w:lineRule="auto"/>
        <w:jc w:val="both"/>
        <w:rPr>
          <w:rFonts w:ascii="Times New Roman" w:eastAsia="Calibri" w:hAnsi="Times New Roman" w:cs="Times New Roman"/>
          <w:kern w:val="0"/>
          <w14:ligatures w14:val="none"/>
        </w:rPr>
      </w:pPr>
      <w:r w:rsidRPr="00DF626F">
        <w:rPr>
          <w:rFonts w:ascii="Times New Roman" w:eastAsia="Calibri" w:hAnsi="Times New Roman" w:cs="Times New Roman"/>
          <w:kern w:val="0"/>
          <w14:ligatures w14:val="none"/>
        </w:rPr>
        <w:t>Cele szczegółowe przedstawionego cyklu publikacji:</w:t>
      </w:r>
    </w:p>
    <w:p w14:paraId="6F7C0593" w14:textId="77777777" w:rsidR="00DF626F" w:rsidRPr="00DF626F" w:rsidRDefault="00DF626F" w:rsidP="00DF626F">
      <w:pPr>
        <w:numPr>
          <w:ilvl w:val="0"/>
          <w:numId w:val="1"/>
        </w:num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Identyfikacja czynników prognostycznych w grupie pacjentów z rakiem trzustki i cukrzycą wraz z analizą wpływu cukrzycy na przebieg leczenia oraz rokowanie pacjentów.</w:t>
      </w:r>
    </w:p>
    <w:p w14:paraId="03EED72F" w14:textId="77777777" w:rsidR="00DF626F" w:rsidRPr="00DF626F" w:rsidRDefault="00DF626F" w:rsidP="00DF626F">
      <w:pPr>
        <w:numPr>
          <w:ilvl w:val="0"/>
          <w:numId w:val="1"/>
        </w:numPr>
        <w:spacing w:line="360" w:lineRule="auto"/>
        <w:contextualSpacing/>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Identyfikacja czynników prognostycznych w grupie pacjentów z rakiem trzustki i nadciśnieniem tętniczym wraz z analizą wpływu nadciśnienia tętniczego na przebieg leczenia oraz rokowanie pacjentów. </w:t>
      </w:r>
    </w:p>
    <w:p w14:paraId="7CC1E66F" w14:textId="77777777" w:rsidR="00DF626F" w:rsidRPr="00DF626F" w:rsidRDefault="00DF626F" w:rsidP="00DF626F">
      <w:pPr>
        <w:numPr>
          <w:ilvl w:val="0"/>
          <w:numId w:val="1"/>
        </w:numPr>
        <w:spacing w:line="360" w:lineRule="auto"/>
        <w:contextualSpacing/>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Identyfikacja czynników prognostycznych w grupie pacjentów z rakiem trzustki i wskaźnikiem masy ciała (BMI) ≥ 25 kg/m</w:t>
      </w:r>
      <w:r w:rsidRPr="00DF626F">
        <w:rPr>
          <w:rFonts w:ascii="Times New Roman" w:eastAsia="Calibri" w:hAnsi="Times New Roman" w:cs="Times New Roman"/>
          <w:vertAlign w:val="superscript"/>
          <w14:ligatures w14:val="none"/>
        </w:rPr>
        <w:t>2</w:t>
      </w:r>
      <w:r w:rsidRPr="00DF626F">
        <w:rPr>
          <w:rFonts w:ascii="Times New Roman" w:eastAsia="Calibri" w:hAnsi="Times New Roman" w:cs="Times New Roman"/>
          <w14:ligatures w14:val="none"/>
        </w:rPr>
        <w:t xml:space="preserve"> wraz z analizą wpływu nadwagi/otyłości na przebieg leczenia oraz rokowanie pacjentów.</w:t>
      </w:r>
    </w:p>
    <w:p w14:paraId="35B231A7" w14:textId="77777777" w:rsidR="00DF626F" w:rsidRPr="00DF626F" w:rsidRDefault="00DF626F" w:rsidP="00DF626F">
      <w:pPr>
        <w:numPr>
          <w:ilvl w:val="0"/>
          <w:numId w:val="1"/>
        </w:numPr>
        <w:spacing w:line="360" w:lineRule="auto"/>
        <w:contextualSpacing/>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Charakterystyka pacjentów z rakiem trzustki i dodatnim wywiadem medycznym w kierunku występowania drugiego nowotworu wraz z analizą przeżycia grup z dodatnim i ujemnym wywiadem.</w:t>
      </w:r>
    </w:p>
    <w:p w14:paraId="10279AEE" w14:textId="77777777" w:rsidR="00DF626F" w:rsidRPr="00DF626F" w:rsidRDefault="00DF626F" w:rsidP="00DF626F">
      <w:pPr>
        <w:numPr>
          <w:ilvl w:val="0"/>
          <w:numId w:val="1"/>
        </w:numPr>
        <w:spacing w:line="360" w:lineRule="auto"/>
        <w:contextualSpacing/>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lastRenderedPageBreak/>
        <w:t>Wyodrębnienie wskaźnika laboratoryjnego, który umożliwi ocenę rokowania pacjentów z rakiem trzustki.</w:t>
      </w:r>
    </w:p>
    <w:p w14:paraId="5A6F45F8" w14:textId="77777777" w:rsidR="00DF626F" w:rsidRPr="00DF626F" w:rsidRDefault="00DF626F" w:rsidP="00DF626F">
      <w:pPr>
        <w:spacing w:after="0" w:line="360" w:lineRule="auto"/>
        <w:rPr>
          <w:rFonts w:ascii="Times New Roman" w:eastAsia="Calibri" w:hAnsi="Times New Roman" w:cs="Times New Roman"/>
          <w:b/>
          <w:bCs/>
          <w:kern w:val="0"/>
          <w14:ligatures w14:val="none"/>
        </w:rPr>
      </w:pPr>
    </w:p>
    <w:p w14:paraId="79DC2D0E" w14:textId="77777777" w:rsidR="00DF626F" w:rsidRPr="00DF626F" w:rsidRDefault="00DF626F" w:rsidP="00DF626F">
      <w:pPr>
        <w:spacing w:after="0" w:line="360" w:lineRule="auto"/>
        <w:rPr>
          <w:rFonts w:ascii="Times New Roman" w:eastAsia="Calibri" w:hAnsi="Times New Roman" w:cs="Times New Roman"/>
          <w:b/>
          <w:bCs/>
          <w:kern w:val="0"/>
          <w14:ligatures w14:val="none"/>
        </w:rPr>
      </w:pPr>
      <w:r w:rsidRPr="00DF626F">
        <w:rPr>
          <w:rFonts w:ascii="Times New Roman" w:eastAsia="Calibri" w:hAnsi="Times New Roman" w:cs="Times New Roman"/>
          <w:b/>
          <w:bCs/>
          <w:kern w:val="0"/>
          <w14:ligatures w14:val="none"/>
        </w:rPr>
        <w:t>Materiał i metody</w:t>
      </w:r>
    </w:p>
    <w:p w14:paraId="0EB97CDB" w14:textId="77777777" w:rsidR="00DF626F" w:rsidRPr="00DF626F" w:rsidRDefault="00DF626F" w:rsidP="00DF626F">
      <w:p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Do badania włączono 175 pacjentów z rozpoznaniem gruczolakoraka trzustki, którzy byli leczeni chemioterapią o założeniu adjuwantowym lub paliatywnym i otrzymali więcej niż 1 kurs chemioterapii. Następnie na potrzeby przeprowadzanych analiz pacjenci zostali podzieleni na następujące grupy: </w:t>
      </w:r>
    </w:p>
    <w:p w14:paraId="7CF7A051" w14:textId="77777777" w:rsidR="00DF626F" w:rsidRPr="00DF626F" w:rsidRDefault="00DF626F" w:rsidP="00DF626F">
      <w:pPr>
        <w:numPr>
          <w:ilvl w:val="0"/>
          <w:numId w:val="2"/>
        </w:num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Pacjenci chorzy na cukrzycę </w:t>
      </w:r>
      <w:r w:rsidRPr="00DF626F">
        <w:rPr>
          <w:rFonts w:ascii="Times New Roman" w:eastAsia="Calibri" w:hAnsi="Times New Roman" w:cs="Times New Roman"/>
          <w:i/>
          <w:iCs/>
          <w14:ligatures w14:val="none"/>
        </w:rPr>
        <w:t xml:space="preserve">versus (vs.) </w:t>
      </w:r>
      <w:r w:rsidRPr="00DF626F">
        <w:rPr>
          <w:rFonts w:ascii="Times New Roman" w:eastAsia="Calibri" w:hAnsi="Times New Roman" w:cs="Times New Roman"/>
          <w14:ligatures w14:val="none"/>
        </w:rPr>
        <w:t>pacjenci z prawidłową glikemią.</w:t>
      </w:r>
    </w:p>
    <w:p w14:paraId="42CE3D8F" w14:textId="77777777" w:rsidR="00DF626F" w:rsidRPr="00DF626F" w:rsidRDefault="00DF626F" w:rsidP="00DF626F">
      <w:pPr>
        <w:numPr>
          <w:ilvl w:val="0"/>
          <w:numId w:val="2"/>
        </w:num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Pacjenci chorzy na nadciśnienie tętnicze </w:t>
      </w:r>
      <w:r w:rsidRPr="00DF626F">
        <w:rPr>
          <w:rFonts w:ascii="Times New Roman" w:eastAsia="Calibri" w:hAnsi="Times New Roman" w:cs="Times New Roman"/>
          <w:i/>
          <w:iCs/>
          <w14:ligatures w14:val="none"/>
        </w:rPr>
        <w:t xml:space="preserve">vs. </w:t>
      </w:r>
      <w:r w:rsidRPr="00DF626F">
        <w:rPr>
          <w:rFonts w:ascii="Times New Roman" w:eastAsia="Calibri" w:hAnsi="Times New Roman" w:cs="Times New Roman"/>
          <w14:ligatures w14:val="none"/>
        </w:rPr>
        <w:t>pacjenci z prawidłowym ciśnieniem tętniczym.</w:t>
      </w:r>
    </w:p>
    <w:p w14:paraId="7D1C73C8" w14:textId="77777777" w:rsidR="00DF626F" w:rsidRPr="00DF626F" w:rsidRDefault="00DF626F" w:rsidP="00DF626F">
      <w:pPr>
        <w:numPr>
          <w:ilvl w:val="0"/>
          <w:numId w:val="2"/>
        </w:num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Pacjenci z </w:t>
      </w:r>
      <w:bookmarkStart w:id="2" w:name="_Hlk157963763"/>
      <w:r w:rsidRPr="00DF626F">
        <w:rPr>
          <w:rFonts w:ascii="Times New Roman" w:eastAsia="Calibri" w:hAnsi="Times New Roman" w:cs="Times New Roman"/>
          <w14:ligatures w14:val="none"/>
        </w:rPr>
        <w:t>BMI ≥ 25 kg/m</w:t>
      </w:r>
      <w:r w:rsidRPr="00DF626F">
        <w:rPr>
          <w:rFonts w:ascii="Times New Roman" w:eastAsia="Calibri" w:hAnsi="Times New Roman" w:cs="Times New Roman"/>
          <w:vertAlign w:val="superscript"/>
          <w14:ligatures w14:val="none"/>
        </w:rPr>
        <w:t>2</w:t>
      </w:r>
      <w:r w:rsidRPr="00DF626F">
        <w:rPr>
          <w:rFonts w:ascii="Times New Roman" w:eastAsia="Calibri" w:hAnsi="Times New Roman" w:cs="Times New Roman"/>
          <w14:ligatures w14:val="none"/>
        </w:rPr>
        <w:t xml:space="preserve"> </w:t>
      </w:r>
      <w:r w:rsidRPr="00DF626F">
        <w:rPr>
          <w:rFonts w:ascii="Times New Roman" w:eastAsia="Calibri" w:hAnsi="Times New Roman" w:cs="Times New Roman"/>
          <w:i/>
          <w:iCs/>
          <w14:ligatures w14:val="none"/>
        </w:rPr>
        <w:t xml:space="preserve">vs. </w:t>
      </w:r>
      <w:bookmarkEnd w:id="2"/>
      <w:r w:rsidRPr="00DF626F">
        <w:rPr>
          <w:rFonts w:ascii="Times New Roman" w:eastAsia="Calibri" w:hAnsi="Times New Roman" w:cs="Times New Roman"/>
          <w14:ligatures w14:val="none"/>
        </w:rPr>
        <w:t>pacjenci z BMI &lt; 25 kg/m</w:t>
      </w:r>
      <w:r w:rsidRPr="00DF626F">
        <w:rPr>
          <w:rFonts w:ascii="Times New Roman" w:eastAsia="Calibri" w:hAnsi="Times New Roman" w:cs="Times New Roman"/>
          <w:vertAlign w:val="superscript"/>
          <w14:ligatures w14:val="none"/>
        </w:rPr>
        <w:t>2</w:t>
      </w:r>
      <w:r w:rsidRPr="00DF626F">
        <w:rPr>
          <w:rFonts w:ascii="Times New Roman" w:eastAsia="Calibri" w:hAnsi="Times New Roman" w:cs="Times New Roman"/>
          <w14:ligatures w14:val="none"/>
        </w:rPr>
        <w:t>.</w:t>
      </w:r>
    </w:p>
    <w:p w14:paraId="4792C1E2" w14:textId="77777777" w:rsidR="00DF626F" w:rsidRPr="00DF626F" w:rsidRDefault="00DF626F" w:rsidP="00DF626F">
      <w:pPr>
        <w:numPr>
          <w:ilvl w:val="0"/>
          <w:numId w:val="2"/>
        </w:num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Pacjenci z dodatnim wywiadem w kierunku drugiego nowotworu pierwotnego </w:t>
      </w:r>
      <w:r w:rsidRPr="00DF626F">
        <w:rPr>
          <w:rFonts w:ascii="Times New Roman" w:eastAsia="Calibri" w:hAnsi="Times New Roman" w:cs="Times New Roman"/>
          <w:i/>
          <w:iCs/>
          <w14:ligatures w14:val="none"/>
        </w:rPr>
        <w:t>vs. </w:t>
      </w:r>
      <w:r w:rsidRPr="00DF626F">
        <w:rPr>
          <w:rFonts w:ascii="Times New Roman" w:eastAsia="Calibri" w:hAnsi="Times New Roman" w:cs="Times New Roman"/>
          <w14:ligatures w14:val="none"/>
        </w:rPr>
        <w:t>pacjenci z wywiadem ujemnym.</w:t>
      </w:r>
    </w:p>
    <w:p w14:paraId="6424C940" w14:textId="77777777" w:rsidR="00DF626F" w:rsidRPr="00DF626F" w:rsidRDefault="00DF626F" w:rsidP="00DF626F">
      <w:p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Badanie miało charakter retrospektywny. Analizowane informacje obejmowały dane: demograficzne, kliniczne, patomorfologiczne oraz laboratoryjne oznaczane w trakcie kwalifikacji do chemioterapii. Ponadto przeanalizowane zostały dane dotyczące operacji wraz z powikłaniami, dane dotyczące chemioterapii wraz z jej skutkami ubocznymi oraz dane dotyczące przeżycia pacjentów.</w:t>
      </w:r>
    </w:p>
    <w:p w14:paraId="72498765" w14:textId="77777777" w:rsidR="00DF626F" w:rsidRPr="00DF626F" w:rsidRDefault="00DF626F" w:rsidP="00DF626F">
      <w:p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Przy użyciu krzywej</w:t>
      </w:r>
      <w:r w:rsidRPr="00DF626F">
        <w:rPr>
          <w:rFonts w:ascii="Calibri" w:eastAsia="Calibri" w:hAnsi="Calibri" w:cs="Times New Roman"/>
          <w:sz w:val="22"/>
          <w:szCs w:val="22"/>
          <w14:ligatures w14:val="none"/>
        </w:rPr>
        <w:t xml:space="preserve"> </w:t>
      </w:r>
      <w:r w:rsidRPr="00DF626F">
        <w:rPr>
          <w:rFonts w:ascii="Times New Roman" w:eastAsia="Calibri" w:hAnsi="Times New Roman" w:cs="Times New Roman"/>
          <w14:ligatures w14:val="none"/>
        </w:rPr>
        <w:t>pokazującej zależności wskaźników TPR (True Positive Rate) oraz FPR (False Positive Rate) (krzywa ROC), wyodrębniliśmy wskaźnik laboratoryjny, który może umożliwić ocenę rokowania pacjentów – stosunek stężenia białka C-reaktywnego do bezwzględnej liczby całkowitej limfocytów (CLR).</w:t>
      </w:r>
    </w:p>
    <w:p w14:paraId="09DC2428" w14:textId="77777777" w:rsidR="00DF626F" w:rsidRPr="00DF626F" w:rsidRDefault="00DF626F" w:rsidP="00DF626F">
      <w:p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Przy użyciu odpowiednich testów statystycznych przeprowadzone zostały analizy statystyczne. Przyjęty poziom istotności wynosił p ≤ 0,05.</w:t>
      </w:r>
    </w:p>
    <w:p w14:paraId="5D63CCC0" w14:textId="77777777" w:rsidR="00DF626F" w:rsidRPr="00DF626F" w:rsidRDefault="00DF626F" w:rsidP="00DF626F">
      <w:pPr>
        <w:spacing w:after="0" w:line="360" w:lineRule="auto"/>
        <w:jc w:val="both"/>
        <w:rPr>
          <w:rFonts w:ascii="Times New Roman" w:eastAsia="Calibri" w:hAnsi="Times New Roman" w:cs="Times New Roman"/>
          <w14:ligatures w14:val="none"/>
        </w:rPr>
      </w:pPr>
    </w:p>
    <w:p w14:paraId="58B2C0C2" w14:textId="77777777" w:rsidR="00DF626F" w:rsidRPr="00DF626F" w:rsidRDefault="00DF626F" w:rsidP="00DF626F">
      <w:pPr>
        <w:spacing w:after="0" w:line="360" w:lineRule="auto"/>
        <w:rPr>
          <w:rFonts w:ascii="Times New Roman" w:eastAsia="Calibri" w:hAnsi="Times New Roman" w:cs="Times New Roman"/>
          <w:b/>
          <w:bCs/>
          <w14:ligatures w14:val="none"/>
        </w:rPr>
      </w:pPr>
      <w:bookmarkStart w:id="3" w:name="_Hlk162944176"/>
      <w:r w:rsidRPr="00DF626F">
        <w:rPr>
          <w:rFonts w:ascii="Times New Roman" w:eastAsia="Calibri" w:hAnsi="Times New Roman" w:cs="Times New Roman"/>
          <w:b/>
          <w:bCs/>
          <w14:ligatures w14:val="none"/>
        </w:rPr>
        <w:t xml:space="preserve">Wyniki </w:t>
      </w:r>
    </w:p>
    <w:p w14:paraId="5C99B89A" w14:textId="77777777" w:rsidR="00DF626F" w:rsidRPr="00DF626F" w:rsidRDefault="00DF626F" w:rsidP="00DF626F">
      <w:p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Badanie 1: Pacjenci chorzy na cukrzycę </w:t>
      </w:r>
      <w:r w:rsidRPr="00DF626F">
        <w:rPr>
          <w:rFonts w:ascii="Times New Roman" w:eastAsia="Calibri" w:hAnsi="Times New Roman" w:cs="Times New Roman"/>
          <w:i/>
          <w:iCs/>
          <w14:ligatures w14:val="none"/>
        </w:rPr>
        <w:t xml:space="preserve">vs. </w:t>
      </w:r>
      <w:r w:rsidRPr="00DF626F">
        <w:rPr>
          <w:rFonts w:ascii="Times New Roman" w:eastAsia="Calibri" w:hAnsi="Times New Roman" w:cs="Times New Roman"/>
          <w14:ligatures w14:val="none"/>
        </w:rPr>
        <w:t>pacjenci z prawidłową glikemią.</w:t>
      </w:r>
    </w:p>
    <w:p w14:paraId="104BDBE4" w14:textId="77777777" w:rsidR="00DF626F" w:rsidRPr="00DF626F" w:rsidRDefault="00DF626F" w:rsidP="00DF626F">
      <w:p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Pacjenci chorzy na cukrzycę stanowili </w:t>
      </w:r>
      <w:r w:rsidRPr="00DF626F">
        <w:rPr>
          <w:rFonts w:ascii="Times New Roman" w:eastAsia="Calibri" w:hAnsi="Times New Roman" w:cs="Times New Roman"/>
          <w:kern w:val="0"/>
          <w14:ligatures w14:val="none"/>
        </w:rPr>
        <w:t xml:space="preserve">42,3% grupy badanej. </w:t>
      </w:r>
      <w:r w:rsidRPr="00DF626F">
        <w:rPr>
          <w:rFonts w:ascii="Times New Roman" w:eastAsia="Calibri" w:hAnsi="Times New Roman" w:cs="Times New Roman"/>
          <w14:ligatures w14:val="none"/>
        </w:rPr>
        <w:t xml:space="preserve">Cechował ich istotnie dłuższy czas przeżycia całkowitego (22 miesiące </w:t>
      </w:r>
      <w:r w:rsidRPr="00DF626F">
        <w:rPr>
          <w:rFonts w:ascii="Times New Roman" w:eastAsia="Calibri" w:hAnsi="Times New Roman" w:cs="Times New Roman"/>
          <w:i/>
          <w:iCs/>
          <w14:ligatures w14:val="none"/>
        </w:rPr>
        <w:t xml:space="preserve">vs. </w:t>
      </w:r>
      <w:r w:rsidRPr="00DF626F">
        <w:rPr>
          <w:rFonts w:ascii="Times New Roman" w:eastAsia="Calibri" w:hAnsi="Times New Roman" w:cs="Times New Roman"/>
          <w14:ligatures w14:val="none"/>
        </w:rPr>
        <w:t xml:space="preserve">18 miesięcy; p &lt; 0,050). Po dalszym podziale pacjentów na leczonych chemioterapią adjuwantową i paliatywną, obserwacja została potwierdzona jedynie w grupie leczonej paliatywnie (18 miesięcy </w:t>
      </w:r>
      <w:r w:rsidRPr="00DF626F">
        <w:rPr>
          <w:rFonts w:ascii="Times New Roman" w:eastAsia="Calibri" w:hAnsi="Times New Roman" w:cs="Times New Roman"/>
          <w:i/>
          <w:iCs/>
          <w14:ligatures w14:val="none"/>
        </w:rPr>
        <w:t xml:space="preserve">vs. </w:t>
      </w:r>
      <w:r w:rsidRPr="00DF626F">
        <w:rPr>
          <w:rFonts w:ascii="Times New Roman" w:eastAsia="Calibri" w:hAnsi="Times New Roman" w:cs="Times New Roman"/>
          <w14:ligatures w14:val="none"/>
        </w:rPr>
        <w:t xml:space="preserve">13 miesięcy; p &lt; 0,034). Pacjenci chorzy na cukrzycę istotnie częściej chorowali na nadciśnienie tętnicze (p &lt; 0,024), mieli niższy wskaźnik CLR w trakcie kwalifikacji do chemioterapii (p &lt; 0,050) oraz rzadziej </w:t>
      </w:r>
      <w:r w:rsidRPr="00DF626F">
        <w:rPr>
          <w:rFonts w:ascii="Times New Roman" w:eastAsia="Calibri" w:hAnsi="Times New Roman" w:cs="Times New Roman"/>
          <w14:ligatures w14:val="none"/>
        </w:rPr>
        <w:lastRenderedPageBreak/>
        <w:t>doświadczali neutropenii jako działania niepożądanego chemioterapii adjuwantowej (p &lt; 0,034). Do korzystnych czynników rokowniczych związanych z dłuższym przeżyciem całkowitym pacjentów należały: lokalizacja nowotworu w głowie trzustki (p = 0,050), brak przerzutów w węzłach chłonnych (p = 0,020), stężenie antygenu karcynoembrionalnego (CEA) ≤ 5 ng/mL (p = 0,019), stężenie białka C-reaktywnego (CRP) ≤ 5 mg/L (p &lt; 0,001) oraz wskaźnik CLR ≤ 1,8 (p = 0,001). W analizie wieloczynnikowej jako najsilniejszy czynnik prognostyczny zostało wyodrębnione stężenie CRP ≤ 5 mg/L (p &lt; 0,001).</w:t>
      </w:r>
    </w:p>
    <w:p w14:paraId="493F7B8A" w14:textId="77777777" w:rsidR="00DF626F" w:rsidRPr="00DF626F" w:rsidRDefault="00DF626F" w:rsidP="00DF626F">
      <w:pPr>
        <w:spacing w:after="0" w:line="360" w:lineRule="auto"/>
        <w:jc w:val="both"/>
        <w:rPr>
          <w:rFonts w:ascii="Times New Roman" w:eastAsia="Calibri" w:hAnsi="Times New Roman" w:cs="Times New Roman"/>
          <w14:ligatures w14:val="none"/>
        </w:rPr>
      </w:pPr>
    </w:p>
    <w:p w14:paraId="23734270" w14:textId="77777777" w:rsidR="00DF626F" w:rsidRPr="00DF626F" w:rsidRDefault="00DF626F" w:rsidP="00DF626F">
      <w:p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Badanie 2: Pacjenci chorzy na nadciśnienie tętnicze </w:t>
      </w:r>
      <w:r w:rsidRPr="00DF626F">
        <w:rPr>
          <w:rFonts w:ascii="Times New Roman" w:eastAsia="Calibri" w:hAnsi="Times New Roman" w:cs="Times New Roman"/>
          <w:i/>
          <w:iCs/>
          <w14:ligatures w14:val="none"/>
        </w:rPr>
        <w:t xml:space="preserve">vs. </w:t>
      </w:r>
      <w:r w:rsidRPr="00DF626F">
        <w:rPr>
          <w:rFonts w:ascii="Times New Roman" w:eastAsia="Calibri" w:hAnsi="Times New Roman" w:cs="Times New Roman"/>
          <w14:ligatures w14:val="none"/>
        </w:rPr>
        <w:t>pacjenci z prawidłowym ciśnieniem tętniczym.</w:t>
      </w:r>
    </w:p>
    <w:p w14:paraId="17C88C58" w14:textId="77777777" w:rsidR="00DF626F" w:rsidRPr="00DF626F" w:rsidRDefault="00DF626F" w:rsidP="00DF626F">
      <w:p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Pacjenci chorzy na nadciśnienie tętnicze stanowili 52,6% grupy badanej. </w:t>
      </w:r>
      <w:bookmarkStart w:id="4" w:name="_Hlk162942469"/>
      <w:r w:rsidRPr="00DF626F">
        <w:rPr>
          <w:rFonts w:ascii="Times New Roman" w:eastAsia="Calibri" w:hAnsi="Times New Roman" w:cs="Times New Roman"/>
          <w14:ligatures w14:val="none"/>
        </w:rPr>
        <w:t>Nie</w:t>
      </w:r>
      <w:r w:rsidRPr="00DF626F">
        <w:rPr>
          <w:rFonts w:ascii="Times New Roman" w:eastAsia="Calibri" w:hAnsi="Times New Roman" w:cs="Times New Roman"/>
          <w:kern w:val="0"/>
          <w14:ligatures w14:val="none"/>
        </w:rPr>
        <w:t xml:space="preserve"> stwierdzono istotnych statystycznie różnic w czasie przeżycia całkowitego, porównując grupę pacjentów chorych na nadciśnienie tętnicze z grupą pacjentów z prawidłowym ciśnieniem tętniczym. </w:t>
      </w:r>
      <w:bookmarkEnd w:id="4"/>
      <w:r w:rsidRPr="00DF626F">
        <w:rPr>
          <w:rFonts w:ascii="Times New Roman" w:eastAsia="Calibri" w:hAnsi="Times New Roman" w:cs="Times New Roman"/>
          <w:kern w:val="0"/>
          <w14:ligatures w14:val="none"/>
        </w:rPr>
        <w:t xml:space="preserve">Pacjentów z nadciśnieniem tętniczym </w:t>
      </w:r>
      <w:r w:rsidRPr="00DF626F">
        <w:rPr>
          <w:rFonts w:ascii="Times New Roman" w:eastAsia="Calibri" w:hAnsi="Times New Roman" w:cs="Times New Roman"/>
          <w14:ligatures w14:val="none"/>
        </w:rPr>
        <w:t xml:space="preserve">cechował starszy wiek w momencie postawienia diagnozy raka trzustki (66,3 lat </w:t>
      </w:r>
      <w:r w:rsidRPr="00DF626F">
        <w:rPr>
          <w:rFonts w:ascii="Times New Roman" w:eastAsia="Calibri" w:hAnsi="Times New Roman" w:cs="Times New Roman"/>
          <w:i/>
          <w:iCs/>
          <w14:ligatures w14:val="none"/>
        </w:rPr>
        <w:t>vs.</w:t>
      </w:r>
      <w:r w:rsidRPr="00DF626F">
        <w:rPr>
          <w:rFonts w:ascii="Times New Roman" w:eastAsia="Calibri" w:hAnsi="Times New Roman" w:cs="Times New Roman"/>
          <w14:ligatures w14:val="none"/>
        </w:rPr>
        <w:t xml:space="preserve"> 61,0 lat; p &lt; 0,001), częstsze rozpoznanie nowotworu bez przerzutów odległych (p = 0,005) oraz częstsze współwystępowanie cukrzycy (p = 0,033). Do korzystnych czynników prognostycznych związanych z dłuższym przeżyciem całkowitym pacjentów z nadciśnieniem tętniczym i rakiem trzustki należały: </w:t>
      </w:r>
      <w:bookmarkStart w:id="5" w:name="_Hlk162943435"/>
      <w:r w:rsidRPr="00DF626F">
        <w:rPr>
          <w:rFonts w:ascii="Times New Roman" w:eastAsia="Calibri" w:hAnsi="Times New Roman" w:cs="Times New Roman"/>
          <w:kern w:val="0"/>
          <w14:ligatures w14:val="none"/>
        </w:rPr>
        <w:t>wyższe BMI (p = 0,002), współwystępowanie cukrzycy (p = 0,003), stosowanie inhibitorów konwertazy angiotensyny lub</w:t>
      </w:r>
      <w:r w:rsidRPr="00DF626F">
        <w:rPr>
          <w:rFonts w:ascii="Times New Roman" w:eastAsia="Calibri" w:hAnsi="Times New Roman" w:cs="Times New Roman"/>
          <w:sz w:val="22"/>
          <w:szCs w:val="22"/>
          <w14:ligatures w14:val="none"/>
        </w:rPr>
        <w:t xml:space="preserve"> </w:t>
      </w:r>
      <w:r w:rsidRPr="00DF626F">
        <w:rPr>
          <w:rFonts w:ascii="Times New Roman" w:eastAsia="Calibri" w:hAnsi="Times New Roman" w:cs="Times New Roman"/>
          <w:kern w:val="0"/>
          <w14:ligatures w14:val="none"/>
        </w:rPr>
        <w:t xml:space="preserve">antagonistów receptora angiotensyny II (ACE-i/ARB) (p = 0,003) oraz CLR ≤ 1,8 (p = 0,013). </w:t>
      </w:r>
      <w:bookmarkEnd w:id="5"/>
      <w:r w:rsidRPr="00DF626F">
        <w:rPr>
          <w:rFonts w:ascii="Times New Roman" w:eastAsia="Calibri" w:hAnsi="Times New Roman" w:cs="Times New Roman"/>
          <w:kern w:val="0"/>
          <w14:ligatures w14:val="none"/>
        </w:rPr>
        <w:t xml:space="preserve">Stosowanie ACE-i/ARB było najsilniejszym czynnikiem prognostycznym w tej grupie badanej (p = 0,034). </w:t>
      </w:r>
    </w:p>
    <w:p w14:paraId="03BCD4A7" w14:textId="77777777" w:rsidR="00DF626F" w:rsidRPr="00DF626F" w:rsidRDefault="00DF626F" w:rsidP="00DF626F">
      <w:pPr>
        <w:spacing w:after="0" w:line="360" w:lineRule="auto"/>
        <w:jc w:val="both"/>
        <w:rPr>
          <w:rFonts w:ascii="Times New Roman" w:eastAsia="Calibri" w:hAnsi="Times New Roman" w:cs="Times New Roman"/>
          <w14:ligatures w14:val="none"/>
        </w:rPr>
      </w:pPr>
    </w:p>
    <w:p w14:paraId="7E36C57C" w14:textId="77777777" w:rsidR="00DF626F" w:rsidRPr="00DF626F" w:rsidRDefault="00DF626F" w:rsidP="00DF626F">
      <w:p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Badanie 3: Pacjenci z BMI ≥ 25 kg/m</w:t>
      </w:r>
      <w:r w:rsidRPr="00DF626F">
        <w:rPr>
          <w:rFonts w:ascii="Times New Roman" w:eastAsia="Calibri" w:hAnsi="Times New Roman" w:cs="Times New Roman"/>
          <w:vertAlign w:val="superscript"/>
          <w14:ligatures w14:val="none"/>
        </w:rPr>
        <w:t>2</w:t>
      </w:r>
      <w:r w:rsidRPr="00DF626F">
        <w:rPr>
          <w:rFonts w:ascii="Times New Roman" w:eastAsia="Calibri" w:hAnsi="Times New Roman" w:cs="Times New Roman"/>
          <w14:ligatures w14:val="none"/>
        </w:rPr>
        <w:t xml:space="preserve"> </w:t>
      </w:r>
      <w:r w:rsidRPr="00DF626F">
        <w:rPr>
          <w:rFonts w:ascii="Times New Roman" w:eastAsia="Calibri" w:hAnsi="Times New Roman" w:cs="Times New Roman"/>
          <w:i/>
          <w:iCs/>
          <w14:ligatures w14:val="none"/>
        </w:rPr>
        <w:t xml:space="preserve">vs. </w:t>
      </w:r>
      <w:r w:rsidRPr="00DF626F">
        <w:rPr>
          <w:rFonts w:ascii="Times New Roman" w:eastAsia="Calibri" w:hAnsi="Times New Roman" w:cs="Times New Roman"/>
          <w14:ligatures w14:val="none"/>
        </w:rPr>
        <w:t>pacjenci z BMI &lt; 25 kg/m</w:t>
      </w:r>
      <w:r w:rsidRPr="00DF626F">
        <w:rPr>
          <w:rFonts w:ascii="Times New Roman" w:eastAsia="Calibri" w:hAnsi="Times New Roman" w:cs="Times New Roman"/>
          <w:vertAlign w:val="superscript"/>
          <w14:ligatures w14:val="none"/>
        </w:rPr>
        <w:t>2</w:t>
      </w:r>
      <w:r w:rsidRPr="00DF626F">
        <w:rPr>
          <w:rFonts w:ascii="Times New Roman" w:eastAsia="Calibri" w:hAnsi="Times New Roman" w:cs="Times New Roman"/>
          <w14:ligatures w14:val="none"/>
        </w:rPr>
        <w:t>.</w:t>
      </w:r>
    </w:p>
    <w:p w14:paraId="16431671" w14:textId="77777777" w:rsidR="00DF626F" w:rsidRPr="00DF626F" w:rsidRDefault="00DF626F" w:rsidP="00DF626F">
      <w:p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Pacjenci z BMI ≥ 25 kg/m</w:t>
      </w:r>
      <w:r w:rsidRPr="00DF626F">
        <w:rPr>
          <w:rFonts w:ascii="Times New Roman" w:eastAsia="Calibri" w:hAnsi="Times New Roman" w:cs="Times New Roman"/>
          <w:vertAlign w:val="superscript"/>
          <w14:ligatures w14:val="none"/>
        </w:rPr>
        <w:t>2</w:t>
      </w:r>
      <w:r w:rsidRPr="00DF626F">
        <w:rPr>
          <w:rFonts w:ascii="Times New Roman" w:eastAsia="Calibri" w:hAnsi="Times New Roman" w:cs="Times New Roman"/>
          <w14:ligatures w14:val="none"/>
        </w:rPr>
        <w:t xml:space="preserve"> stanowili 32,0% grupy badanej. Nie stwierdzono istotnych statystycznie różnic w czasie przeżycia całkowitego, porównując grupę pacjentów z BMI ≥ 25 kg/m2 z grupą pacjentów z prawidłową masą ciała. Pacjenci z BMI ≥ 25 kg/m</w:t>
      </w:r>
      <w:r w:rsidRPr="00DF626F">
        <w:rPr>
          <w:rFonts w:ascii="Times New Roman" w:eastAsia="Calibri" w:hAnsi="Times New Roman" w:cs="Times New Roman"/>
          <w:vertAlign w:val="superscript"/>
          <w14:ligatures w14:val="none"/>
        </w:rPr>
        <w:t>2</w:t>
      </w:r>
      <w:r w:rsidRPr="00DF626F">
        <w:rPr>
          <w:rFonts w:ascii="Times New Roman" w:eastAsia="Calibri" w:hAnsi="Times New Roman" w:cs="Times New Roman"/>
          <w14:ligatures w14:val="none"/>
        </w:rPr>
        <w:t xml:space="preserve"> istotnie częściej mieli diagnozowaną chorobę z autoimmunizacji, głównie przewlekłe autoimmunizacyjne zapalenie tarczycy (p = 0,020). W aspekcie raka trzustki częściej mieli stwierdzane przerzuty w 4 i więcej regionalnych węzłach chłonnych (N2) (p = 0,041), rozmiar guza 2 – 4 cm (T2) (p = 0,022) oraz doświadczali neutropenii jako działania niepożądanego chemioterapii paliatywnej (p = 0,014). W grupie pacjentów z BMI ≥ 25 kg/m</w:t>
      </w:r>
      <w:r w:rsidRPr="00DF626F">
        <w:rPr>
          <w:rFonts w:ascii="Times New Roman" w:eastAsia="Calibri" w:hAnsi="Times New Roman" w:cs="Times New Roman"/>
          <w:vertAlign w:val="superscript"/>
          <w14:ligatures w14:val="none"/>
        </w:rPr>
        <w:t>2</w:t>
      </w:r>
      <w:r w:rsidRPr="00DF626F">
        <w:rPr>
          <w:rFonts w:ascii="Times New Roman" w:eastAsia="Calibri" w:hAnsi="Times New Roman" w:cs="Times New Roman"/>
          <w14:ligatures w14:val="none"/>
        </w:rPr>
        <w:t xml:space="preserve"> wyższe BMI było związane z dłuższym przeżyciem całkowitym (p = 0,021), podczas gdy stężenie CRP &gt; 5 mg/L </w:t>
      </w:r>
      <w:r w:rsidRPr="00DF626F">
        <w:rPr>
          <w:rFonts w:ascii="Times New Roman" w:eastAsia="Calibri" w:hAnsi="Times New Roman" w:cs="Times New Roman"/>
          <w14:ligatures w14:val="none"/>
        </w:rPr>
        <w:lastRenderedPageBreak/>
        <w:t xml:space="preserve">z krótszym przeżyciem całkowitym (p = 0,025). BMI </w:t>
      </w:r>
      <w:r w:rsidRPr="00DF626F">
        <w:rPr>
          <w:rFonts w:ascii="Times New Roman" w:eastAsia="Calibri" w:hAnsi="Times New Roman" w:cs="Times New Roman"/>
          <w:kern w:val="0"/>
          <w14:ligatures w14:val="none"/>
        </w:rPr>
        <w:t>było najsilniejszym czynnikiem prognostycznym w tej grupie badanej (p = 0,021).</w:t>
      </w:r>
      <w:r w:rsidRPr="00DF626F">
        <w:rPr>
          <w:rFonts w:ascii="Times New Roman" w:eastAsia="Calibri" w:hAnsi="Times New Roman" w:cs="Times New Roman"/>
          <w14:ligatures w14:val="none"/>
        </w:rPr>
        <w:t xml:space="preserve"> </w:t>
      </w:r>
    </w:p>
    <w:p w14:paraId="26C0B236" w14:textId="77777777" w:rsidR="00DF626F" w:rsidRPr="00DF626F" w:rsidRDefault="00DF626F" w:rsidP="00DF626F">
      <w:pPr>
        <w:spacing w:after="0" w:line="360" w:lineRule="auto"/>
        <w:jc w:val="both"/>
        <w:rPr>
          <w:rFonts w:ascii="Times New Roman" w:eastAsia="Calibri" w:hAnsi="Times New Roman" w:cs="Times New Roman"/>
          <w14:ligatures w14:val="none"/>
        </w:rPr>
      </w:pPr>
    </w:p>
    <w:p w14:paraId="49818E32" w14:textId="77777777" w:rsidR="00DF626F" w:rsidRPr="00DF626F" w:rsidRDefault="00DF626F" w:rsidP="00DF626F">
      <w:p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color w:val="000000"/>
          <w14:ligatures w14:val="none"/>
        </w:rPr>
        <w:t xml:space="preserve">Badanie 4: </w:t>
      </w:r>
      <w:r w:rsidRPr="00DF626F">
        <w:rPr>
          <w:rFonts w:ascii="Times New Roman" w:eastAsia="Calibri" w:hAnsi="Times New Roman" w:cs="Times New Roman"/>
          <w14:ligatures w14:val="none"/>
        </w:rPr>
        <w:t xml:space="preserve">Pacjenci z dodatnim wywiadem w kierunku drugiego nowotworu pierwotnego </w:t>
      </w:r>
      <w:r w:rsidRPr="00DF626F">
        <w:rPr>
          <w:rFonts w:ascii="Times New Roman" w:eastAsia="Calibri" w:hAnsi="Times New Roman" w:cs="Times New Roman"/>
          <w:i/>
          <w:iCs/>
          <w14:ligatures w14:val="none"/>
        </w:rPr>
        <w:t>vs. </w:t>
      </w:r>
      <w:r w:rsidRPr="00DF626F">
        <w:rPr>
          <w:rFonts w:ascii="Times New Roman" w:eastAsia="Calibri" w:hAnsi="Times New Roman" w:cs="Times New Roman"/>
          <w14:ligatures w14:val="none"/>
        </w:rPr>
        <w:t>pacjenci z wywiadem ujemnym.</w:t>
      </w:r>
    </w:p>
    <w:p w14:paraId="0A38E012" w14:textId="77777777" w:rsidR="00DF626F" w:rsidRPr="00DF626F" w:rsidRDefault="00DF626F" w:rsidP="00DF626F">
      <w:pPr>
        <w:tabs>
          <w:tab w:val="left" w:pos="1200"/>
        </w:tabs>
        <w:spacing w:after="0" w:line="360" w:lineRule="auto"/>
        <w:jc w:val="both"/>
        <w:rPr>
          <w:rFonts w:ascii="Times New Roman" w:eastAsia="Calibri" w:hAnsi="Times New Roman" w:cs="Times New Roman"/>
          <w:color w:val="000000"/>
          <w14:ligatures w14:val="none"/>
        </w:rPr>
      </w:pPr>
      <w:r w:rsidRPr="00DF626F">
        <w:rPr>
          <w:rFonts w:ascii="Times New Roman" w:eastAsia="Calibri" w:hAnsi="Times New Roman" w:cs="Times New Roman"/>
          <w:color w:val="000000"/>
          <w14:ligatures w14:val="none"/>
        </w:rPr>
        <w:t>Pacjenci z dodatnim wywiadem w kierunku drugiego nowotworu pierwotnego stanowili 5,3% grupy badanej (15 przypadków). Do innych nowotworów pierwotnych należały: rak piersi (5 przypadków), rak jajnika (3), rak jelita grubego (3), rak prostaty (2), rak wątrobowokomórkowy (1) oraz grasiczak (1). W przypadku pierwszego nowotworu pierwotnego w większości przypadków uzyskano całkowite wyleczenie lub remisję. Średni czas przeżycia całkowitego od diagnozy pierwszego nowotworu wynosił 75 miesięcy, natomiast od diagnozy drugiego nowotworu pierwotnego 14 miesięcy. Nie stwierdzono istotnej statystycznie różnicy w czasie wolnym od progresji (p = 0,440) oraz w czasie przeżycia całkowitego (p = 0,280) pomiędzy badanymi grupami.</w:t>
      </w:r>
      <w:bookmarkEnd w:id="3"/>
      <w:r w:rsidRPr="00DF626F">
        <w:rPr>
          <w:rFonts w:ascii="Times New Roman" w:eastAsia="Calibri" w:hAnsi="Times New Roman" w:cs="Times New Roman"/>
          <w:color w:val="000000"/>
          <w14:ligatures w14:val="none"/>
        </w:rPr>
        <w:t xml:space="preserve"> </w:t>
      </w:r>
    </w:p>
    <w:p w14:paraId="42F8C617" w14:textId="77777777" w:rsidR="00DF626F" w:rsidRPr="00DF626F" w:rsidRDefault="00DF626F" w:rsidP="00DF626F">
      <w:pPr>
        <w:spacing w:after="0" w:line="360" w:lineRule="auto"/>
        <w:jc w:val="both"/>
        <w:rPr>
          <w:rFonts w:ascii="Times New Roman" w:eastAsia="Calibri" w:hAnsi="Times New Roman" w:cs="Times New Roman"/>
          <w14:ligatures w14:val="none"/>
        </w:rPr>
      </w:pPr>
    </w:p>
    <w:p w14:paraId="5CD438FF" w14:textId="77777777" w:rsidR="00DF626F" w:rsidRPr="00DF626F" w:rsidRDefault="00DF626F" w:rsidP="00DF626F">
      <w:pPr>
        <w:spacing w:after="0" w:line="360" w:lineRule="auto"/>
        <w:rPr>
          <w:rFonts w:ascii="Times New Roman" w:eastAsia="Calibri" w:hAnsi="Times New Roman" w:cs="Times New Roman"/>
          <w:b/>
          <w:bCs/>
          <w14:ligatures w14:val="none"/>
        </w:rPr>
      </w:pPr>
      <w:r w:rsidRPr="00DF626F">
        <w:rPr>
          <w:rFonts w:ascii="Times New Roman" w:eastAsia="Calibri" w:hAnsi="Times New Roman" w:cs="Times New Roman"/>
          <w:b/>
          <w:bCs/>
          <w14:ligatures w14:val="none"/>
        </w:rPr>
        <w:t xml:space="preserve">Wnioski </w:t>
      </w:r>
    </w:p>
    <w:p w14:paraId="549B63E7" w14:textId="77777777" w:rsidR="00DF626F" w:rsidRPr="00DF626F" w:rsidRDefault="00DF626F" w:rsidP="00DF626F">
      <w:pPr>
        <w:numPr>
          <w:ilvl w:val="0"/>
          <w:numId w:val="3"/>
        </w:num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Cukrzyca jest częstym schorzeniem pacjentów z rozpoznaniem raka trzustki i wiąże się z lepszą prognozą, szczególnie w przypadku pacjentów z chorobą w stadium rozsiewu. Dalsze badania są konieczne, aby ustalić dokładny mechanizm związany z tym zjawiskiem. Czynnikami prognostycznymi dłuższego przeżycia całkowitego w tej grupie pacjentów są: lokalizacja nowotworu w głowie trzustki, stężenie CEA ≤ 5 ng/mL, stężenie CRP ≤ 5 mg/L oraz wskaźnik CLR ≤ 1.8.</w:t>
      </w:r>
    </w:p>
    <w:p w14:paraId="685489E1" w14:textId="77777777" w:rsidR="00DF626F" w:rsidRPr="00DF626F" w:rsidRDefault="00DF626F" w:rsidP="00DF626F">
      <w:pPr>
        <w:numPr>
          <w:ilvl w:val="0"/>
          <w:numId w:val="3"/>
        </w:num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Stosowanie ACE-i/ARB istotnie wpływa na lepsze rokowanie pacjentów z nadciśnieniem tętniczym i rakiem trzustki. Innymi czynnikami prognostycznymi dłuższego przeżycia całkowitego w tej grupie pacjentów jest wyższe BMI, współwystępowanie cukrzycy oraz wskaźnik CLR ≤ 1.8. Samo współwystępowanie nadciśnienia tętniczego nie jest istotne rokowniczo. </w:t>
      </w:r>
    </w:p>
    <w:p w14:paraId="0E3A6B56" w14:textId="77777777" w:rsidR="00DF626F" w:rsidRPr="00DF626F" w:rsidRDefault="00DF626F" w:rsidP="00DF626F">
      <w:pPr>
        <w:numPr>
          <w:ilvl w:val="0"/>
          <w:numId w:val="3"/>
        </w:num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Wyższe BMI jest </w:t>
      </w:r>
      <w:r w:rsidRPr="00DF626F">
        <w:rPr>
          <w:rFonts w:ascii="Times New Roman" w:eastAsia="Calibri" w:hAnsi="Times New Roman" w:cs="Times New Roman"/>
          <w:kern w:val="0"/>
          <w14:ligatures w14:val="none"/>
        </w:rPr>
        <w:t>najsilniejszym korzystnym rokowniczo czynnikiem prognostycznym w grupie pacjentów z rakiem trzustki i BMI ≥ 25 kg/m</w:t>
      </w:r>
      <w:r w:rsidRPr="00DF626F">
        <w:rPr>
          <w:rFonts w:ascii="Times New Roman" w:eastAsia="Calibri" w:hAnsi="Times New Roman" w:cs="Times New Roman"/>
          <w:kern w:val="0"/>
          <w:vertAlign w:val="superscript"/>
          <w14:ligatures w14:val="none"/>
        </w:rPr>
        <w:t>2</w:t>
      </w:r>
      <w:r w:rsidRPr="00DF626F">
        <w:rPr>
          <w:rFonts w:ascii="Times New Roman" w:eastAsia="Calibri" w:hAnsi="Times New Roman" w:cs="Times New Roman"/>
          <w:kern w:val="0"/>
          <w14:ligatures w14:val="none"/>
        </w:rPr>
        <w:t xml:space="preserve">. </w:t>
      </w:r>
      <w:r w:rsidRPr="00DF626F">
        <w:rPr>
          <w:rFonts w:ascii="Times New Roman" w:eastAsia="Calibri" w:hAnsi="Times New Roman" w:cs="Times New Roman"/>
          <w14:ligatures w14:val="none"/>
        </w:rPr>
        <w:t xml:space="preserve">Może mieć to związek z wolniejszym rozwojem kacheksji nowotworowej, a tym samym lepszej tolerancji i odpowiedzi na leczenie. </w:t>
      </w:r>
    </w:p>
    <w:p w14:paraId="7234799D" w14:textId="77777777" w:rsidR="00DF626F" w:rsidRPr="00DF626F" w:rsidRDefault="00DF626F" w:rsidP="00DF626F">
      <w:pPr>
        <w:numPr>
          <w:ilvl w:val="0"/>
          <w:numId w:val="3"/>
        </w:num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t xml:space="preserve">Dodatni wywiad medyczny w kierunku występowania drugiego nowotworu nie wpływa na czas przeżycia całkowitego pacjentów z rozpoznaniem raka trzustki. </w:t>
      </w:r>
      <w:r w:rsidRPr="00DF626F">
        <w:rPr>
          <w:rFonts w:ascii="Times New Roman" w:eastAsia="Calibri" w:hAnsi="Times New Roman" w:cs="Times New Roman"/>
          <w:kern w:val="0"/>
          <w14:ligatures w14:val="none"/>
        </w:rPr>
        <w:t xml:space="preserve"> </w:t>
      </w:r>
    </w:p>
    <w:p w14:paraId="622A5ECA" w14:textId="77777777" w:rsidR="00DF626F" w:rsidRPr="00DF626F" w:rsidRDefault="00DF626F" w:rsidP="00DF626F">
      <w:pPr>
        <w:numPr>
          <w:ilvl w:val="0"/>
          <w:numId w:val="3"/>
        </w:numPr>
        <w:spacing w:after="0" w:line="360" w:lineRule="auto"/>
        <w:jc w:val="both"/>
        <w:rPr>
          <w:rFonts w:ascii="Times New Roman" w:eastAsia="Calibri" w:hAnsi="Times New Roman" w:cs="Times New Roman"/>
          <w14:ligatures w14:val="none"/>
        </w:rPr>
      </w:pPr>
      <w:r w:rsidRPr="00DF626F">
        <w:rPr>
          <w:rFonts w:ascii="Times New Roman" w:eastAsia="Calibri" w:hAnsi="Times New Roman" w:cs="Times New Roman"/>
          <w14:ligatures w14:val="none"/>
        </w:rPr>
        <w:lastRenderedPageBreak/>
        <w:t>Stosunek CRP do bezwzględnej liczby całkowitej limfocytów może być dobrym, tanim i łatwo dostępnym czynnikiem prognostycznym.</w:t>
      </w:r>
    </w:p>
    <w:p w14:paraId="7D137B3C" w14:textId="77777777" w:rsidR="00DF626F" w:rsidRDefault="00DF626F"/>
    <w:sectPr w:rsidR="00DF6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C1FFB"/>
    <w:multiLevelType w:val="hybridMultilevel"/>
    <w:tmpl w:val="79CE7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6D1B42"/>
    <w:multiLevelType w:val="hybridMultilevel"/>
    <w:tmpl w:val="0B32F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47716F"/>
    <w:multiLevelType w:val="hybridMultilevel"/>
    <w:tmpl w:val="64708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4094278">
    <w:abstractNumId w:val="0"/>
  </w:num>
  <w:num w:numId="2" w16cid:durableId="1006592498">
    <w:abstractNumId w:val="2"/>
  </w:num>
  <w:num w:numId="3" w16cid:durableId="1688093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c0MDA2MTYyNrA0MjNV0lEKTi0uzszPAykwrAUAcQnYhCwAAAA="/>
  </w:docVars>
  <w:rsids>
    <w:rsidRoot w:val="00DF626F"/>
    <w:rsid w:val="00DF6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C1E2D"/>
  <w15:chartTrackingRefBased/>
  <w15:docId w15:val="{618E9021-D41A-40B1-B337-67392ED6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F62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DF62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DF626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DF626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DF626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F626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F626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F626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F626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626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DF626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DF626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DF626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DF626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F626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F626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F626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F626F"/>
    <w:rPr>
      <w:rFonts w:eastAsiaTheme="majorEastAsia" w:cstheme="majorBidi"/>
      <w:color w:val="272727" w:themeColor="text1" w:themeTint="D8"/>
    </w:rPr>
  </w:style>
  <w:style w:type="paragraph" w:styleId="Tytu">
    <w:name w:val="Title"/>
    <w:basedOn w:val="Normalny"/>
    <w:next w:val="Normalny"/>
    <w:link w:val="TytuZnak"/>
    <w:uiPriority w:val="10"/>
    <w:qFormat/>
    <w:rsid w:val="00DF62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F626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F626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F626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F626F"/>
    <w:pPr>
      <w:spacing w:before="160"/>
      <w:jc w:val="center"/>
    </w:pPr>
    <w:rPr>
      <w:i/>
      <w:iCs/>
      <w:color w:val="404040" w:themeColor="text1" w:themeTint="BF"/>
    </w:rPr>
  </w:style>
  <w:style w:type="character" w:customStyle="1" w:styleId="CytatZnak">
    <w:name w:val="Cytat Znak"/>
    <w:basedOn w:val="Domylnaczcionkaakapitu"/>
    <w:link w:val="Cytat"/>
    <w:uiPriority w:val="29"/>
    <w:rsid w:val="00DF626F"/>
    <w:rPr>
      <w:i/>
      <w:iCs/>
      <w:color w:val="404040" w:themeColor="text1" w:themeTint="BF"/>
    </w:rPr>
  </w:style>
  <w:style w:type="paragraph" w:styleId="Akapitzlist">
    <w:name w:val="List Paragraph"/>
    <w:basedOn w:val="Normalny"/>
    <w:uiPriority w:val="34"/>
    <w:qFormat/>
    <w:rsid w:val="00DF626F"/>
    <w:pPr>
      <w:ind w:left="720"/>
      <w:contextualSpacing/>
    </w:pPr>
  </w:style>
  <w:style w:type="character" w:styleId="Wyrnienieintensywne">
    <w:name w:val="Intense Emphasis"/>
    <w:basedOn w:val="Domylnaczcionkaakapitu"/>
    <w:uiPriority w:val="21"/>
    <w:qFormat/>
    <w:rsid w:val="00DF626F"/>
    <w:rPr>
      <w:i/>
      <w:iCs/>
      <w:color w:val="0F4761" w:themeColor="accent1" w:themeShade="BF"/>
    </w:rPr>
  </w:style>
  <w:style w:type="paragraph" w:styleId="Cytatintensywny">
    <w:name w:val="Intense Quote"/>
    <w:basedOn w:val="Normalny"/>
    <w:next w:val="Normalny"/>
    <w:link w:val="CytatintensywnyZnak"/>
    <w:uiPriority w:val="30"/>
    <w:qFormat/>
    <w:rsid w:val="00DF62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F626F"/>
    <w:rPr>
      <w:i/>
      <w:iCs/>
      <w:color w:val="0F4761" w:themeColor="accent1" w:themeShade="BF"/>
    </w:rPr>
  </w:style>
  <w:style w:type="character" w:styleId="Odwoanieintensywne">
    <w:name w:val="Intense Reference"/>
    <w:basedOn w:val="Domylnaczcionkaakapitu"/>
    <w:uiPriority w:val="32"/>
    <w:qFormat/>
    <w:rsid w:val="00DF62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8148</Characters>
  <Application>Microsoft Office Word</Application>
  <DocSecurity>0</DocSecurity>
  <Lines>159</Lines>
  <Paragraphs>48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Fudalej</dc:creator>
  <cp:keywords/>
  <dc:description/>
  <cp:lastModifiedBy>Marta Fudalej</cp:lastModifiedBy>
  <cp:revision>1</cp:revision>
  <dcterms:created xsi:type="dcterms:W3CDTF">2024-04-18T07:52:00Z</dcterms:created>
  <dcterms:modified xsi:type="dcterms:W3CDTF">2024-04-18T07:53:00Z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2adfb321-a127-4aac-8dbe-c34bcc176b45</vt:lpwstr>
  </property>
</Properties>
</file>