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7F29F4" w14:textId="77777777" w:rsidR="00EA4A36" w:rsidRDefault="00EA4A36" w:rsidP="00EA4A36">
      <w:pPr>
        <w:tabs>
          <w:tab w:val="left" w:pos="2010"/>
        </w:tabs>
        <w:spacing w:line="360" w:lineRule="auto"/>
        <w:ind w:left="360"/>
        <w:jc w:val="center"/>
        <w:rPr>
          <w:rFonts w:ascii="Times New Roman" w:hAnsi="Times New Roman"/>
          <w:b/>
          <w:bCs/>
          <w:color w:val="0070C0"/>
          <w:sz w:val="28"/>
          <w:szCs w:val="28"/>
          <w:lang w:val="en-US"/>
        </w:rPr>
      </w:pPr>
      <w:r>
        <w:rPr>
          <w:rFonts w:ascii="Times New Roman" w:hAnsi="Times New Roman"/>
          <w:b/>
          <w:bCs/>
          <w:color w:val="0070C0"/>
          <w:sz w:val="28"/>
          <w:szCs w:val="28"/>
          <w:lang w:val="en-US"/>
        </w:rPr>
        <w:t>II</w:t>
      </w:r>
      <w:r w:rsidRPr="00697398">
        <w:rPr>
          <w:rFonts w:ascii="Times New Roman" w:hAnsi="Times New Roman"/>
          <w:b/>
          <w:bCs/>
          <w:color w:val="0070C0"/>
          <w:sz w:val="28"/>
          <w:szCs w:val="28"/>
          <w:lang w:val="en-US"/>
        </w:rPr>
        <w:t>.</w:t>
      </w:r>
      <w:r>
        <w:rPr>
          <w:rFonts w:ascii="Times New Roman" w:hAnsi="Times New Roman"/>
          <w:b/>
          <w:bCs/>
          <w:color w:val="0070C0"/>
          <w:sz w:val="28"/>
          <w:szCs w:val="28"/>
          <w:lang w:val="en-US"/>
        </w:rPr>
        <w:t xml:space="preserve"> ABSTRACT</w:t>
      </w:r>
    </w:p>
    <w:p w14:paraId="4879497C" w14:textId="77777777" w:rsidR="00EA4A36" w:rsidRPr="00CF07CA" w:rsidRDefault="00EA4A36" w:rsidP="00EA4A36">
      <w:pPr>
        <w:spacing w:line="360" w:lineRule="auto"/>
        <w:jc w:val="both"/>
        <w:rPr>
          <w:rFonts w:ascii="Times New Roman" w:hAnsi="Times New Roman"/>
          <w:sz w:val="24"/>
          <w:szCs w:val="24"/>
          <w:lang w:val="en-US"/>
        </w:rPr>
      </w:pPr>
      <w:r w:rsidRPr="14C08E28">
        <w:rPr>
          <w:rFonts w:ascii="Times New Roman" w:hAnsi="Times New Roman"/>
          <w:sz w:val="24"/>
          <w:szCs w:val="24"/>
          <w:lang w:val="en"/>
        </w:rPr>
        <w:t xml:space="preserve">Opioids are the most powerful analgesics used in the intra- and postoperative period to ensure pain relief and blunt hemodynamic responses in patients undergoing surgery. </w:t>
      </w:r>
      <w:r w:rsidRPr="14C08E28">
        <w:rPr>
          <w:rFonts w:ascii="Times New Roman" w:hAnsi="Times New Roman"/>
          <w:sz w:val="24"/>
          <w:szCs w:val="24"/>
          <w:lang w:val="en-US"/>
        </w:rPr>
        <w:t>Due to their effectiveness and potency, their use seems indispensable in patients undergoing surgical treatment.</w:t>
      </w:r>
    </w:p>
    <w:p w14:paraId="7004FDB3" w14:textId="77777777" w:rsidR="00EA4A36" w:rsidRPr="00747CE5" w:rsidRDefault="00EA4A36" w:rsidP="00EA4A36">
      <w:pPr>
        <w:spacing w:line="360" w:lineRule="auto"/>
        <w:jc w:val="both"/>
        <w:rPr>
          <w:rFonts w:ascii="Times New Roman" w:eastAsia="Times New Roman" w:hAnsi="Times New Roman"/>
          <w:sz w:val="24"/>
          <w:szCs w:val="24"/>
          <w:lang w:val="en-US" w:eastAsia="pl-PL"/>
        </w:rPr>
      </w:pPr>
      <w:r w:rsidRPr="00747CE5">
        <w:rPr>
          <w:rFonts w:ascii="Times New Roman" w:eastAsia="Times New Roman" w:hAnsi="Times New Roman"/>
          <w:sz w:val="24"/>
          <w:szCs w:val="24"/>
          <w:lang w:val="en-US" w:eastAsia="pl-PL"/>
        </w:rPr>
        <w:t xml:space="preserve">However, the disadvantages of </w:t>
      </w:r>
      <w:r w:rsidRPr="00747CE5">
        <w:rPr>
          <w:rFonts w:ascii="Times New Roman" w:eastAsia="Times New Roman" w:hAnsi="Times New Roman"/>
          <w:sz w:val="24"/>
          <w:szCs w:val="24"/>
          <w:lang w:val="en-US"/>
        </w:rPr>
        <w:t>opioid administration include serious side effects, such as the risk of causing respiratory failure, excessive sedation, inducing nausea and vomiting, as well as the </w:t>
      </w:r>
      <w:r w:rsidRPr="00747CE5">
        <w:rPr>
          <w:rFonts w:ascii="Times New Roman" w:eastAsia="Times New Roman" w:hAnsi="Times New Roman"/>
          <w:sz w:val="24"/>
          <w:szCs w:val="24"/>
          <w:lang w:val="en-US" w:eastAsia="pl-PL"/>
        </w:rPr>
        <w:t xml:space="preserve">need to increase doses to achieve a satisfactory analgesic effect. For these reasons, their use may result in a negative impact </w:t>
      </w:r>
      <w:r w:rsidRPr="00747CE5">
        <w:rPr>
          <w:rFonts w:ascii="Times New Roman" w:eastAsia="Times New Roman" w:hAnsi="Times New Roman"/>
          <w:sz w:val="24"/>
          <w:szCs w:val="24"/>
          <w:lang w:val="en-US"/>
        </w:rPr>
        <w:t>on the </w:t>
      </w:r>
      <w:r w:rsidRPr="00747CE5">
        <w:rPr>
          <w:rFonts w:ascii="Times New Roman" w:eastAsia="Times New Roman" w:hAnsi="Times New Roman"/>
          <w:sz w:val="24"/>
          <w:szCs w:val="24"/>
          <w:lang w:val="en-US" w:eastAsia="pl-PL"/>
        </w:rPr>
        <w:t xml:space="preserve">safety and comfort of operated patients and thus delay postoperative recovery, which is in opposition to the Enhanced Recovery After Surgery (ERAS) doctrine. </w:t>
      </w:r>
    </w:p>
    <w:p w14:paraId="0A85AC33" w14:textId="77777777" w:rsidR="00EA4A36" w:rsidRPr="00C23276" w:rsidRDefault="00EA4A36" w:rsidP="00EA4A36">
      <w:pPr>
        <w:spacing w:line="360" w:lineRule="auto"/>
        <w:jc w:val="both"/>
        <w:rPr>
          <w:rStyle w:val="y2iqfc"/>
          <w:rFonts w:ascii="Times New Roman" w:hAnsi="Times New Roman"/>
          <w:color w:val="202124"/>
          <w:sz w:val="24"/>
          <w:szCs w:val="24"/>
          <w:lang w:val="en-US"/>
        </w:rPr>
      </w:pPr>
      <w:r w:rsidRPr="14C08E28">
        <w:rPr>
          <w:rStyle w:val="y2iqfc"/>
          <w:rFonts w:ascii="Times New Roman" w:hAnsi="Times New Roman"/>
          <w:color w:val="202124"/>
          <w:sz w:val="24"/>
          <w:szCs w:val="24"/>
          <w:lang w:val="en-US"/>
        </w:rPr>
        <w:t>A population in which early mobilization and avoidance of opioid side effects are important is patients with obesity undergoing bariatric surgery such as the most frequently performed procedure in the world: laparoscopic sleeve gastrectomy (LSG). Taking into account the need to create pneumoperitoneum to perform surgery, positioning the patient in the anti-Trendelenburg position, as well as the specificity of patients with often long-term obesity and its complications, ensuring safety and comfort of anesthetized patients and caring for them in the postoperative period constitutes an additional challenge for the anesthesiologist.</w:t>
      </w:r>
    </w:p>
    <w:p w14:paraId="452BD0DB" w14:textId="77777777" w:rsidR="00EA4A36" w:rsidRPr="007E0772" w:rsidRDefault="00EA4A36" w:rsidP="00EA4A36">
      <w:pPr>
        <w:spacing w:line="360" w:lineRule="auto"/>
        <w:jc w:val="both"/>
        <w:rPr>
          <w:rStyle w:val="y2iqfc"/>
          <w:rFonts w:ascii="Times New Roman" w:hAnsi="Times New Roman"/>
          <w:color w:val="202124"/>
          <w:sz w:val="24"/>
          <w:szCs w:val="24"/>
          <w:lang w:val="en-US"/>
        </w:rPr>
      </w:pPr>
      <w:r w:rsidRPr="5A3029E7">
        <w:rPr>
          <w:rStyle w:val="y2iqfc"/>
          <w:rFonts w:ascii="Times New Roman" w:hAnsi="Times New Roman"/>
          <w:color w:val="202124"/>
          <w:sz w:val="24"/>
          <w:szCs w:val="24"/>
          <w:lang w:val="en-US"/>
        </w:rPr>
        <w:t xml:space="preserve">A way to minimize risk and ensure comfort for patients in this group is to use opioid-sparing techniques. They are often part of multimodal analgesia, which involves the use of agents with different mechanisms of action combined with various forms of regional analgesia to keep the required dose of opioids intra- and postoperatively lowest possible. </w:t>
      </w:r>
    </w:p>
    <w:p w14:paraId="3CF84178" w14:textId="77777777" w:rsidR="00EA4A36" w:rsidRPr="007E0772" w:rsidRDefault="00EA4A36" w:rsidP="00EA4A36">
      <w:pPr>
        <w:spacing w:line="360" w:lineRule="auto"/>
        <w:jc w:val="both"/>
        <w:rPr>
          <w:rStyle w:val="y2iqfc"/>
          <w:rFonts w:ascii="Times New Roman" w:hAnsi="Times New Roman"/>
          <w:color w:val="202124"/>
          <w:sz w:val="24"/>
          <w:szCs w:val="24"/>
          <w:lang w:val="en-US"/>
        </w:rPr>
      </w:pPr>
      <w:r w:rsidRPr="5842E5D1">
        <w:rPr>
          <w:rStyle w:val="y2iqfc"/>
          <w:rFonts w:ascii="Times New Roman" w:hAnsi="Times New Roman"/>
          <w:color w:val="202124"/>
          <w:sz w:val="24"/>
          <w:szCs w:val="24"/>
          <w:lang w:val="en-US"/>
        </w:rPr>
        <w:t>A specific form of intraoperative multimodal analgesia is opioid-free anesthesia (OFA). It assumes that by combining drugs with different mechanisms of action with or without regional blockade, it is possible to completely eliminate opioid use during surgery and minimize their consumption in the postoperative period. However, OFA is controversial due to insufficient scientific evidence to support its routine use</w:t>
      </w:r>
      <w:r>
        <w:rPr>
          <w:rStyle w:val="y2iqfc"/>
          <w:rFonts w:ascii="Times New Roman" w:hAnsi="Times New Roman"/>
          <w:color w:val="202124"/>
          <w:sz w:val="24"/>
          <w:szCs w:val="24"/>
          <w:lang w:val="en-US"/>
        </w:rPr>
        <w:t>,</w:t>
      </w:r>
      <w:r w:rsidRPr="5842E5D1">
        <w:rPr>
          <w:rStyle w:val="y2iqfc"/>
          <w:rFonts w:ascii="Times New Roman" w:hAnsi="Times New Roman"/>
          <w:color w:val="202124"/>
          <w:sz w:val="24"/>
          <w:szCs w:val="24"/>
          <w:lang w:val="en-US"/>
        </w:rPr>
        <w:t xml:space="preserve"> and there is limited data regarding </w:t>
      </w:r>
      <w:r>
        <w:rPr>
          <w:rStyle w:val="y2iqfc"/>
          <w:rFonts w:ascii="Times New Roman" w:hAnsi="Times New Roman"/>
          <w:color w:val="202124"/>
          <w:sz w:val="24"/>
          <w:szCs w:val="24"/>
          <w:lang w:val="en-US"/>
        </w:rPr>
        <w:t>i</w:t>
      </w:r>
      <w:r w:rsidRPr="5842E5D1">
        <w:rPr>
          <w:rStyle w:val="y2iqfc"/>
          <w:rFonts w:ascii="Times New Roman" w:hAnsi="Times New Roman"/>
          <w:color w:val="202124"/>
          <w:sz w:val="24"/>
          <w:szCs w:val="24"/>
          <w:lang w:val="en-US"/>
        </w:rPr>
        <w:t>t</w:t>
      </w:r>
      <w:r>
        <w:rPr>
          <w:rStyle w:val="y2iqfc"/>
          <w:rFonts w:ascii="Times New Roman" w:hAnsi="Times New Roman"/>
          <w:color w:val="202124"/>
          <w:sz w:val="24"/>
          <w:szCs w:val="24"/>
          <w:lang w:val="en-US"/>
        </w:rPr>
        <w:t>s</w:t>
      </w:r>
      <w:r w:rsidRPr="5842E5D1">
        <w:rPr>
          <w:rStyle w:val="y2iqfc"/>
          <w:rFonts w:ascii="Times New Roman" w:hAnsi="Times New Roman"/>
          <w:color w:val="202124"/>
          <w:sz w:val="24"/>
          <w:szCs w:val="24"/>
          <w:lang w:val="en-US"/>
        </w:rPr>
        <w:t xml:space="preserve"> potential impact on cardiovascular stability and safety.</w:t>
      </w:r>
    </w:p>
    <w:p w14:paraId="1AF45F41" w14:textId="77777777" w:rsidR="00EA4A36" w:rsidRPr="007E0772" w:rsidRDefault="00EA4A36" w:rsidP="00EA4A36">
      <w:pPr>
        <w:spacing w:line="360" w:lineRule="auto"/>
        <w:jc w:val="both"/>
        <w:rPr>
          <w:rStyle w:val="y2iqfc"/>
          <w:rFonts w:ascii="Times New Roman" w:hAnsi="Times New Roman"/>
          <w:color w:val="202124"/>
          <w:sz w:val="24"/>
          <w:szCs w:val="24"/>
          <w:lang w:val="en-US"/>
        </w:rPr>
      </w:pPr>
      <w:r w:rsidRPr="14C08E28">
        <w:rPr>
          <w:rStyle w:val="y2iqfc"/>
          <w:rFonts w:ascii="Times New Roman" w:hAnsi="Times New Roman"/>
          <w:color w:val="202124"/>
          <w:sz w:val="24"/>
          <w:szCs w:val="24"/>
          <w:lang w:val="en-US"/>
        </w:rPr>
        <w:t>Considering great clinical importance of optimal anesthesia techniques in bariatric surgery, this thesis and the presented publications aimed to explore new opioid-sparing techniques and study opioid-free anesthesia as its special form.</w:t>
      </w:r>
    </w:p>
    <w:p w14:paraId="2BF6FF1B" w14:textId="77777777" w:rsidR="00EA4A36" w:rsidRPr="007E0772" w:rsidRDefault="00EA4A36" w:rsidP="00EA4A36">
      <w:pPr>
        <w:spacing w:line="360" w:lineRule="auto"/>
        <w:jc w:val="both"/>
        <w:rPr>
          <w:rStyle w:val="y2iqfc"/>
          <w:rFonts w:ascii="Times New Roman" w:hAnsi="Times New Roman"/>
          <w:color w:val="202124"/>
          <w:sz w:val="24"/>
          <w:szCs w:val="24"/>
          <w:lang w:val="en-US"/>
        </w:rPr>
      </w:pPr>
      <w:r w:rsidRPr="5A3029E7">
        <w:rPr>
          <w:rStyle w:val="y2iqfc"/>
          <w:rFonts w:ascii="Times New Roman" w:hAnsi="Times New Roman"/>
          <w:color w:val="202124"/>
          <w:sz w:val="24"/>
          <w:szCs w:val="24"/>
          <w:lang w:val="en-US"/>
        </w:rPr>
        <w:lastRenderedPageBreak/>
        <w:t xml:space="preserve">In the first manuscript, we report a prospective, randomized study conducted on 59 patients undergoing LSG assigned to two groups. In the first group, OFA was used according to </w:t>
      </w:r>
      <w:r>
        <w:rPr>
          <w:rStyle w:val="y2iqfc"/>
          <w:rFonts w:ascii="Times New Roman" w:hAnsi="Times New Roman"/>
          <w:color w:val="202124"/>
          <w:sz w:val="24"/>
          <w:szCs w:val="24"/>
          <w:lang w:val="en-US"/>
        </w:rPr>
        <w:br/>
        <w:t xml:space="preserve">a </w:t>
      </w:r>
      <w:r w:rsidRPr="5A3029E7">
        <w:rPr>
          <w:rStyle w:val="y2iqfc"/>
          <w:rFonts w:ascii="Times New Roman" w:hAnsi="Times New Roman"/>
          <w:color w:val="202124"/>
          <w:sz w:val="24"/>
          <w:szCs w:val="24"/>
          <w:lang w:val="en-US"/>
        </w:rPr>
        <w:t>systematized protocol; in the latter, general anesthesia with multimodal analgesia (MMA) was utilized with the intraoperative use of the short-acting opioid remifentanil. Postoperative care was conducted in a similar manner. The aim of the study was to assess whether the use of OFA and the elimination of intraoperative opioids in favor of coanalgesics such as dexmedetomidine, lidocaine, ketamine, and magnesium sulfate allows for a reduction in the total requirement for opioids during the first postoperative 24 hours. Pain scores on the Numeric Rating Scale (NRS), the occurrence of nausea and vomiting on the Simplified Postoperative Nausea and Vomiting (PONV) Impact scale, the frequency of desaturation and pruritus, and the intraoperative use of vasopressors and fluid therapy as indicators of hemodynamic stability were also examined.</w:t>
      </w:r>
    </w:p>
    <w:p w14:paraId="3DA57504" w14:textId="77777777" w:rsidR="00EA4A36" w:rsidRPr="007E0772" w:rsidRDefault="00EA4A36" w:rsidP="00EA4A36">
      <w:pPr>
        <w:spacing w:line="360" w:lineRule="auto"/>
        <w:jc w:val="both"/>
        <w:rPr>
          <w:sz w:val="24"/>
          <w:szCs w:val="24"/>
          <w:lang w:val="en-US"/>
        </w:rPr>
      </w:pPr>
      <w:r w:rsidRPr="5A3029E7">
        <w:rPr>
          <w:rStyle w:val="y2iqfc"/>
          <w:rFonts w:ascii="Times New Roman" w:hAnsi="Times New Roman"/>
          <w:color w:val="202124"/>
          <w:sz w:val="24"/>
          <w:szCs w:val="24"/>
          <w:lang w:val="en"/>
        </w:rPr>
        <w:t>The study did not reveal a reduction in total opioid requirement in the postoperative period. Still, it demonstrated some benefits in the immediate hour after surgery in the form of less frequent occurrence of nausea and vomiting and a statistically significant lower opioid dose. On the other hand, patients in the OFA group required higher intraoperative doses of vasopressors and larger fluid volumes to stabilize hemodynamic parameters. Both techniques allowed for early patient discharge from the hospital that was within 24 hours after surgery.</w:t>
      </w:r>
    </w:p>
    <w:p w14:paraId="0F86FBDD" w14:textId="77777777" w:rsidR="00EA4A36" w:rsidRPr="007E0772" w:rsidRDefault="00EA4A36" w:rsidP="00EA4A36">
      <w:pPr>
        <w:spacing w:line="360" w:lineRule="auto"/>
        <w:jc w:val="both"/>
        <w:rPr>
          <w:rStyle w:val="y2iqfc"/>
          <w:rFonts w:ascii="Times New Roman" w:hAnsi="Times New Roman"/>
          <w:color w:val="202124"/>
          <w:sz w:val="24"/>
          <w:szCs w:val="24"/>
          <w:lang w:val="en-US"/>
        </w:rPr>
      </w:pPr>
      <w:r w:rsidRPr="14C08E28">
        <w:rPr>
          <w:rStyle w:val="y2iqfc"/>
          <w:rFonts w:ascii="Times New Roman" w:hAnsi="Times New Roman"/>
          <w:color w:val="202124"/>
          <w:sz w:val="24"/>
          <w:szCs w:val="24"/>
          <w:lang w:val="en-US"/>
        </w:rPr>
        <w:t>The second manuscript presents a case report of a 42-year-old patient with interstitial lung disease, on home oxygen therapy that was considered a candidate for lung transplantation on the condition of reducing body weight to improve transplant eligibility. In this patient, OFA was successfully used with a prolonged infusion of coanalgesics in the postoperative period after LSG. Taking into account additional risk factors related to the patient's condition, including severe respiratory failure, lung diffusion disorders, and probability of pulmonary hypertension, this was an extreme-risk patient in the intra- and postoperative period.  Implementing OFA and appropriate postoperative care allowed for ensuring the patient’s safety and comfort and the final discharge from the hospital. One year after surgery, the patient significantly reduced his body weight, which led to a spectacular clinical improvement, enabling him to return to professional activity and, at least temporarily, suspend his qualification for lung transplantation.</w:t>
      </w:r>
    </w:p>
    <w:p w14:paraId="487905DB" w14:textId="77777777" w:rsidR="00EA4A36" w:rsidRPr="007E0772" w:rsidRDefault="00EA4A36" w:rsidP="00EA4A36">
      <w:pPr>
        <w:spacing w:line="360" w:lineRule="auto"/>
        <w:jc w:val="both"/>
        <w:rPr>
          <w:rStyle w:val="y2iqfc"/>
          <w:rFonts w:ascii="Times New Roman" w:hAnsi="Times New Roman"/>
          <w:color w:val="202124"/>
          <w:sz w:val="24"/>
          <w:szCs w:val="24"/>
          <w:lang w:val="en-US"/>
        </w:rPr>
      </w:pPr>
      <w:r w:rsidRPr="5A3029E7">
        <w:rPr>
          <w:rStyle w:val="y2iqfc"/>
          <w:rFonts w:ascii="Times New Roman" w:hAnsi="Times New Roman"/>
          <w:color w:val="202124"/>
          <w:sz w:val="24"/>
          <w:szCs w:val="24"/>
          <w:lang w:val="en-US"/>
        </w:rPr>
        <w:t xml:space="preserve">The third publication in series is a review presenting the contemporary state of knowledge on OFA in bariatric surgery. Summarizing the current literature, the work systematically considers the potential advantages and disadvantages of using such a heterogeneous group of techniques, </w:t>
      </w:r>
      <w:r w:rsidRPr="5A3029E7">
        <w:rPr>
          <w:rStyle w:val="y2iqfc"/>
          <w:rFonts w:ascii="Times New Roman" w:hAnsi="Times New Roman"/>
          <w:color w:val="202124"/>
          <w:sz w:val="24"/>
          <w:szCs w:val="24"/>
          <w:lang w:val="en-US"/>
        </w:rPr>
        <w:lastRenderedPageBreak/>
        <w:t>its impact on distinct organ systems, clinical aspects of anesthesia and postoperative care. In addition to presenting the most up-to-date literature at the time, the paper also proposes potential indications for administrating OFA and directions for future research.</w:t>
      </w:r>
    </w:p>
    <w:p w14:paraId="65E281B7" w14:textId="77777777" w:rsidR="00EA4A36" w:rsidRPr="007E0772" w:rsidRDefault="00EA4A36" w:rsidP="00EA4A36">
      <w:pPr>
        <w:spacing w:line="360" w:lineRule="auto"/>
        <w:jc w:val="both"/>
        <w:rPr>
          <w:rStyle w:val="y2iqfc"/>
          <w:rFonts w:ascii="Times New Roman" w:hAnsi="Times New Roman"/>
          <w:color w:val="202124"/>
          <w:sz w:val="24"/>
          <w:szCs w:val="24"/>
          <w:lang w:val="en-US"/>
        </w:rPr>
      </w:pPr>
      <w:r w:rsidRPr="5A3029E7">
        <w:rPr>
          <w:rStyle w:val="y2iqfc"/>
          <w:rFonts w:ascii="Times New Roman" w:hAnsi="Times New Roman"/>
          <w:color w:val="202124"/>
          <w:sz w:val="24"/>
          <w:szCs w:val="24"/>
          <w:lang w:val="en-US"/>
        </w:rPr>
        <w:t xml:space="preserve">The last manuscript is a published protocol of an ongoing study that aims to evaluate the administration of pregabalin 150 mg prior to laparoscopic sleeve gastrectomy as a form of preemptive analgesia on total opioid requirements in the postoperative period. The study will also analyze parameters such as pain assessment on NRS, incidence of PONV, visual disturbances, frequency of desaturations, quality of convalescence assessed by completing the </w:t>
      </w:r>
      <w:r w:rsidRPr="5A3029E7">
        <w:rPr>
          <w:rFonts w:ascii="Times New Roman" w:hAnsi="Times New Roman"/>
          <w:color w:val="202124"/>
          <w:sz w:val="24"/>
          <w:szCs w:val="24"/>
          <w:lang w:val="en-US"/>
        </w:rPr>
        <w:t>Quality of Recovery-40 Questionnaire (</w:t>
      </w:r>
      <w:proofErr w:type="spellStart"/>
      <w:r w:rsidRPr="5A3029E7">
        <w:rPr>
          <w:rFonts w:ascii="Times New Roman" w:hAnsi="Times New Roman"/>
          <w:color w:val="202124"/>
          <w:sz w:val="24"/>
          <w:szCs w:val="24"/>
          <w:lang w:val="en-US"/>
        </w:rPr>
        <w:t>QoR</w:t>
      </w:r>
      <w:proofErr w:type="spellEnd"/>
      <w:r w:rsidRPr="5A3029E7">
        <w:rPr>
          <w:rFonts w:ascii="Times New Roman" w:hAnsi="Times New Roman"/>
          <w:color w:val="202124"/>
          <w:sz w:val="24"/>
          <w:szCs w:val="24"/>
          <w:lang w:val="en-US"/>
        </w:rPr>
        <w:t xml:space="preserve"> - 40) </w:t>
      </w:r>
      <w:r w:rsidRPr="5A3029E7">
        <w:rPr>
          <w:rStyle w:val="y2iqfc"/>
          <w:rFonts w:ascii="Times New Roman" w:hAnsi="Times New Roman"/>
          <w:color w:val="202124"/>
          <w:sz w:val="24"/>
          <w:szCs w:val="24"/>
          <w:lang w:val="en-US"/>
        </w:rPr>
        <w:t>form and hemodynamic stability during surgery. Hemodynamic parameters will be recorded and duration of any hypotension noted.  The study is planned as a randomized, double-blind trial enrolling 90 patients. The publication of the study protocol and implementation of reviewer's suggestions allowed for early peer feedback and thus may aid in improving the quality of the main study, increasing transparency and reproducibility, as well as reducing risk of publication bias. The current study may help fill an important gap in knowledge by answering a potential question about the place of pregabalin as one of the coanalgesics in laparoscopic bariatric surgery under the ERAS protocol, which has not been convincingly examined so far.</w:t>
      </w:r>
    </w:p>
    <w:p w14:paraId="3D973D8B" w14:textId="77777777" w:rsidR="00EA4A36" w:rsidRPr="007E0772" w:rsidRDefault="00EA4A36" w:rsidP="00EA4A36">
      <w:pPr>
        <w:tabs>
          <w:tab w:val="left" w:pos="2010"/>
        </w:tabs>
        <w:spacing w:line="360" w:lineRule="auto"/>
        <w:ind w:left="360"/>
        <w:rPr>
          <w:rFonts w:ascii="Times New Roman" w:hAnsi="Times New Roman"/>
          <w:b/>
          <w:bCs/>
          <w:color w:val="0070C0"/>
          <w:sz w:val="24"/>
          <w:szCs w:val="24"/>
          <w:lang w:val="en-US"/>
        </w:rPr>
      </w:pPr>
    </w:p>
    <w:p w14:paraId="6E20E532" w14:textId="77777777" w:rsidR="00EA4A36" w:rsidRDefault="00EA4A36" w:rsidP="00EA4A36">
      <w:pPr>
        <w:tabs>
          <w:tab w:val="left" w:pos="2010"/>
        </w:tabs>
        <w:spacing w:line="360" w:lineRule="auto"/>
        <w:jc w:val="both"/>
        <w:rPr>
          <w:rFonts w:ascii="Times New Roman" w:hAnsi="Times New Roman"/>
          <w:sz w:val="28"/>
          <w:szCs w:val="28"/>
          <w:lang w:val="en-US"/>
        </w:rPr>
      </w:pPr>
    </w:p>
    <w:p w14:paraId="7F0597FC" w14:textId="77777777" w:rsidR="00EA4A36" w:rsidRDefault="00EA4A36" w:rsidP="00EA4A36">
      <w:pPr>
        <w:tabs>
          <w:tab w:val="left" w:pos="2010"/>
        </w:tabs>
        <w:spacing w:line="360" w:lineRule="auto"/>
        <w:jc w:val="both"/>
        <w:rPr>
          <w:rFonts w:ascii="Times New Roman" w:hAnsi="Times New Roman"/>
          <w:sz w:val="28"/>
          <w:szCs w:val="28"/>
          <w:lang w:val="en-US"/>
        </w:rPr>
      </w:pPr>
    </w:p>
    <w:p w14:paraId="14A4A33F" w14:textId="77777777" w:rsidR="00EA4A36" w:rsidRDefault="00EA4A36" w:rsidP="00EA4A36">
      <w:pPr>
        <w:tabs>
          <w:tab w:val="left" w:pos="2010"/>
        </w:tabs>
        <w:spacing w:line="360" w:lineRule="auto"/>
        <w:jc w:val="both"/>
        <w:rPr>
          <w:rFonts w:ascii="Times New Roman" w:hAnsi="Times New Roman"/>
          <w:sz w:val="28"/>
          <w:szCs w:val="28"/>
          <w:lang w:val="en-US"/>
        </w:rPr>
      </w:pPr>
    </w:p>
    <w:p w14:paraId="0B1775BE" w14:textId="77777777" w:rsidR="00EA4A36" w:rsidRDefault="00EA4A36" w:rsidP="00EA4A36">
      <w:pPr>
        <w:tabs>
          <w:tab w:val="left" w:pos="2010"/>
        </w:tabs>
        <w:spacing w:line="360" w:lineRule="auto"/>
        <w:jc w:val="both"/>
        <w:rPr>
          <w:rFonts w:ascii="Times New Roman" w:hAnsi="Times New Roman"/>
          <w:sz w:val="28"/>
          <w:szCs w:val="28"/>
          <w:lang w:val="en-US"/>
        </w:rPr>
      </w:pPr>
    </w:p>
    <w:p w14:paraId="1E0CA2F0" w14:textId="77777777" w:rsidR="00EA4A36" w:rsidRDefault="00EA4A36" w:rsidP="00EA4A36">
      <w:pPr>
        <w:tabs>
          <w:tab w:val="left" w:pos="2010"/>
        </w:tabs>
        <w:spacing w:line="360" w:lineRule="auto"/>
        <w:jc w:val="both"/>
        <w:rPr>
          <w:rFonts w:ascii="Times New Roman" w:hAnsi="Times New Roman"/>
          <w:sz w:val="28"/>
          <w:szCs w:val="28"/>
          <w:lang w:val="en-US"/>
        </w:rPr>
      </w:pPr>
    </w:p>
    <w:p w14:paraId="65D38B68" w14:textId="77777777" w:rsidR="00EA4A36" w:rsidRDefault="00EA4A36" w:rsidP="00EA4A36">
      <w:pPr>
        <w:tabs>
          <w:tab w:val="left" w:pos="2010"/>
        </w:tabs>
        <w:spacing w:line="360" w:lineRule="auto"/>
        <w:jc w:val="both"/>
        <w:rPr>
          <w:rFonts w:ascii="Times New Roman" w:hAnsi="Times New Roman"/>
          <w:sz w:val="28"/>
          <w:szCs w:val="28"/>
          <w:lang w:val="en-US"/>
        </w:rPr>
      </w:pPr>
    </w:p>
    <w:p w14:paraId="7F97F3C9" w14:textId="77777777" w:rsidR="00EA4A36" w:rsidRDefault="00EA4A36" w:rsidP="00EA4A36">
      <w:pPr>
        <w:tabs>
          <w:tab w:val="left" w:pos="2010"/>
        </w:tabs>
        <w:spacing w:line="360" w:lineRule="auto"/>
        <w:jc w:val="both"/>
        <w:rPr>
          <w:rFonts w:ascii="Times New Roman" w:hAnsi="Times New Roman"/>
          <w:sz w:val="28"/>
          <w:szCs w:val="28"/>
          <w:lang w:val="en-US"/>
        </w:rPr>
      </w:pPr>
    </w:p>
    <w:p w14:paraId="03707284" w14:textId="77777777" w:rsidR="00EA4A36" w:rsidRDefault="00EA4A36" w:rsidP="00EA4A36">
      <w:pPr>
        <w:tabs>
          <w:tab w:val="left" w:pos="2010"/>
        </w:tabs>
        <w:spacing w:line="360" w:lineRule="auto"/>
        <w:jc w:val="both"/>
        <w:rPr>
          <w:rFonts w:ascii="Times New Roman" w:hAnsi="Times New Roman"/>
          <w:sz w:val="28"/>
          <w:szCs w:val="28"/>
          <w:lang w:val="en-US"/>
        </w:rPr>
      </w:pPr>
    </w:p>
    <w:p w14:paraId="742CD117" w14:textId="77777777" w:rsidR="005D1E6B" w:rsidRPr="00381CF7" w:rsidRDefault="005D1E6B">
      <w:pPr>
        <w:rPr>
          <w:lang w:val="en-US"/>
        </w:rPr>
      </w:pPr>
    </w:p>
    <w:sectPr w:rsidR="005D1E6B" w:rsidRPr="00381C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A36"/>
    <w:rsid w:val="0006727C"/>
    <w:rsid w:val="002D1778"/>
    <w:rsid w:val="00381CF7"/>
    <w:rsid w:val="005D1E6B"/>
    <w:rsid w:val="00977514"/>
    <w:rsid w:val="00DA41A1"/>
    <w:rsid w:val="00EA4A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E73752"/>
  <w15:chartTrackingRefBased/>
  <w15:docId w15:val="{E8DCF165-529F-4A00-AE7C-A82950287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A4A36"/>
    <w:pPr>
      <w:spacing w:after="200" w:line="276" w:lineRule="auto"/>
    </w:pPr>
    <w:rPr>
      <w:rFonts w:ascii="Calibri" w:eastAsia="Calibri" w:hAnsi="Calibri" w:cs="Times New Roman"/>
      <w:kern w:val="0"/>
      <w14:ligatures w14:val="none"/>
    </w:rPr>
  </w:style>
  <w:style w:type="paragraph" w:styleId="Nagwek1">
    <w:name w:val="heading 1"/>
    <w:basedOn w:val="Normalny"/>
    <w:next w:val="Normalny"/>
    <w:link w:val="Nagwek1Znak"/>
    <w:uiPriority w:val="9"/>
    <w:qFormat/>
    <w:rsid w:val="00EA4A3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Nagwek2">
    <w:name w:val="heading 2"/>
    <w:basedOn w:val="Normalny"/>
    <w:next w:val="Normalny"/>
    <w:link w:val="Nagwek2Znak"/>
    <w:uiPriority w:val="9"/>
    <w:semiHidden/>
    <w:unhideWhenUsed/>
    <w:qFormat/>
    <w:rsid w:val="00EA4A3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Nagwek3">
    <w:name w:val="heading 3"/>
    <w:basedOn w:val="Normalny"/>
    <w:next w:val="Normalny"/>
    <w:link w:val="Nagwek3Znak"/>
    <w:uiPriority w:val="9"/>
    <w:semiHidden/>
    <w:unhideWhenUsed/>
    <w:qFormat/>
    <w:rsid w:val="00EA4A3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Nagwek4">
    <w:name w:val="heading 4"/>
    <w:basedOn w:val="Normalny"/>
    <w:next w:val="Normalny"/>
    <w:link w:val="Nagwek4Znak"/>
    <w:uiPriority w:val="9"/>
    <w:semiHidden/>
    <w:unhideWhenUsed/>
    <w:qFormat/>
    <w:rsid w:val="00EA4A36"/>
    <w:pPr>
      <w:keepNext/>
      <w:keepLines/>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Nagwek5">
    <w:name w:val="heading 5"/>
    <w:basedOn w:val="Normalny"/>
    <w:next w:val="Normalny"/>
    <w:link w:val="Nagwek5Znak"/>
    <w:uiPriority w:val="9"/>
    <w:semiHidden/>
    <w:unhideWhenUsed/>
    <w:qFormat/>
    <w:rsid w:val="00EA4A36"/>
    <w:pPr>
      <w:keepNext/>
      <w:keepLines/>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Nagwek6">
    <w:name w:val="heading 6"/>
    <w:basedOn w:val="Normalny"/>
    <w:next w:val="Normalny"/>
    <w:link w:val="Nagwek6Znak"/>
    <w:uiPriority w:val="9"/>
    <w:semiHidden/>
    <w:unhideWhenUsed/>
    <w:qFormat/>
    <w:rsid w:val="00EA4A36"/>
    <w:pPr>
      <w:keepNext/>
      <w:keepLines/>
      <w:spacing w:before="40" w:after="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Nagwek7">
    <w:name w:val="heading 7"/>
    <w:basedOn w:val="Normalny"/>
    <w:next w:val="Normalny"/>
    <w:link w:val="Nagwek7Znak"/>
    <w:uiPriority w:val="9"/>
    <w:semiHidden/>
    <w:unhideWhenUsed/>
    <w:qFormat/>
    <w:rsid w:val="00EA4A36"/>
    <w:pPr>
      <w:keepNext/>
      <w:keepLines/>
      <w:spacing w:before="40" w:after="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Nagwek8">
    <w:name w:val="heading 8"/>
    <w:basedOn w:val="Normalny"/>
    <w:next w:val="Normalny"/>
    <w:link w:val="Nagwek8Znak"/>
    <w:uiPriority w:val="9"/>
    <w:semiHidden/>
    <w:unhideWhenUsed/>
    <w:qFormat/>
    <w:rsid w:val="00EA4A36"/>
    <w:pPr>
      <w:keepNext/>
      <w:keepLines/>
      <w:spacing w:after="0"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Nagwek9">
    <w:name w:val="heading 9"/>
    <w:basedOn w:val="Normalny"/>
    <w:next w:val="Normalny"/>
    <w:link w:val="Nagwek9Znak"/>
    <w:uiPriority w:val="9"/>
    <w:semiHidden/>
    <w:unhideWhenUsed/>
    <w:qFormat/>
    <w:rsid w:val="00EA4A36"/>
    <w:pPr>
      <w:keepNext/>
      <w:keepLines/>
      <w:spacing w:after="0"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4A36"/>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EA4A36"/>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EA4A36"/>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EA4A36"/>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EA4A36"/>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EA4A3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A4A3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A4A3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A4A36"/>
    <w:rPr>
      <w:rFonts w:eastAsiaTheme="majorEastAsia" w:cstheme="majorBidi"/>
      <w:color w:val="272727" w:themeColor="text1" w:themeTint="D8"/>
    </w:rPr>
  </w:style>
  <w:style w:type="paragraph" w:styleId="Tytu">
    <w:name w:val="Title"/>
    <w:basedOn w:val="Normalny"/>
    <w:next w:val="Normalny"/>
    <w:link w:val="TytuZnak"/>
    <w:uiPriority w:val="10"/>
    <w:qFormat/>
    <w:rsid w:val="00EA4A3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ytuZnak">
    <w:name w:val="Tytuł Znak"/>
    <w:basedOn w:val="Domylnaczcionkaakapitu"/>
    <w:link w:val="Tytu"/>
    <w:uiPriority w:val="10"/>
    <w:rsid w:val="00EA4A3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A4A3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odtytuZnak">
    <w:name w:val="Podtytuł Znak"/>
    <w:basedOn w:val="Domylnaczcionkaakapitu"/>
    <w:link w:val="Podtytu"/>
    <w:uiPriority w:val="11"/>
    <w:rsid w:val="00EA4A3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A4A36"/>
    <w:pPr>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ytatZnak">
    <w:name w:val="Cytat Znak"/>
    <w:basedOn w:val="Domylnaczcionkaakapitu"/>
    <w:link w:val="Cytat"/>
    <w:uiPriority w:val="29"/>
    <w:rsid w:val="00EA4A36"/>
    <w:rPr>
      <w:i/>
      <w:iCs/>
      <w:color w:val="404040" w:themeColor="text1" w:themeTint="BF"/>
    </w:rPr>
  </w:style>
  <w:style w:type="paragraph" w:styleId="Akapitzlist">
    <w:name w:val="List Paragraph"/>
    <w:basedOn w:val="Normalny"/>
    <w:uiPriority w:val="34"/>
    <w:qFormat/>
    <w:rsid w:val="00EA4A36"/>
    <w:pPr>
      <w:spacing w:after="160" w:line="259" w:lineRule="auto"/>
      <w:ind w:left="720"/>
      <w:contextualSpacing/>
    </w:pPr>
    <w:rPr>
      <w:rFonts w:asciiTheme="minorHAnsi" w:eastAsiaTheme="minorHAnsi" w:hAnsiTheme="minorHAnsi" w:cstheme="minorBidi"/>
      <w:kern w:val="2"/>
      <w14:ligatures w14:val="standardContextual"/>
    </w:rPr>
  </w:style>
  <w:style w:type="character" w:styleId="Wyrnienieintensywne">
    <w:name w:val="Intense Emphasis"/>
    <w:basedOn w:val="Domylnaczcionkaakapitu"/>
    <w:uiPriority w:val="21"/>
    <w:qFormat/>
    <w:rsid w:val="00EA4A36"/>
    <w:rPr>
      <w:i/>
      <w:iCs/>
      <w:color w:val="0F4761" w:themeColor="accent1" w:themeShade="BF"/>
    </w:rPr>
  </w:style>
  <w:style w:type="paragraph" w:styleId="Cytatintensywny">
    <w:name w:val="Intense Quote"/>
    <w:basedOn w:val="Normalny"/>
    <w:next w:val="Normalny"/>
    <w:link w:val="CytatintensywnyZnak"/>
    <w:uiPriority w:val="30"/>
    <w:qFormat/>
    <w:rsid w:val="00EA4A3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CytatintensywnyZnak">
    <w:name w:val="Cytat intensywny Znak"/>
    <w:basedOn w:val="Domylnaczcionkaakapitu"/>
    <w:link w:val="Cytatintensywny"/>
    <w:uiPriority w:val="30"/>
    <w:rsid w:val="00EA4A36"/>
    <w:rPr>
      <w:i/>
      <w:iCs/>
      <w:color w:val="0F4761" w:themeColor="accent1" w:themeShade="BF"/>
    </w:rPr>
  </w:style>
  <w:style w:type="character" w:styleId="Odwoanieintensywne">
    <w:name w:val="Intense Reference"/>
    <w:basedOn w:val="Domylnaczcionkaakapitu"/>
    <w:uiPriority w:val="32"/>
    <w:qFormat/>
    <w:rsid w:val="00EA4A36"/>
    <w:rPr>
      <w:b/>
      <w:bCs/>
      <w:smallCaps/>
      <w:color w:val="0F4761" w:themeColor="accent1" w:themeShade="BF"/>
      <w:spacing w:val="5"/>
    </w:rPr>
  </w:style>
  <w:style w:type="character" w:customStyle="1" w:styleId="y2iqfc">
    <w:name w:val="y2iqfc"/>
    <w:basedOn w:val="Domylnaczcionkaakapitu"/>
    <w:rsid w:val="00EA4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1012</Words>
  <Characters>5929</Characters>
  <Application>Microsoft Office Word</Application>
  <DocSecurity>0</DocSecurity>
  <Lines>49</Lines>
  <Paragraphs>13</Paragraphs>
  <ScaleCrop>false</ScaleCrop>
  <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Mieszczański</dc:creator>
  <cp:keywords/>
  <dc:description/>
  <cp:lastModifiedBy>Maria Woźniak</cp:lastModifiedBy>
  <cp:revision>3</cp:revision>
  <dcterms:created xsi:type="dcterms:W3CDTF">2024-11-25T09:39:00Z</dcterms:created>
  <dcterms:modified xsi:type="dcterms:W3CDTF">2024-11-25T09:40:00Z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c4b16751-505e-481b-ad0e-5d1d1c14ac05</vt:lpwstr>
  </property>
</Properties>
</file>