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5F0B7" w14:textId="3009F424" w:rsidR="00343880" w:rsidRDefault="00343880" w:rsidP="00343880">
      <w:r>
        <w:t>Skierska Izabela</w:t>
      </w:r>
    </w:p>
    <w:p w14:paraId="4B0D429D" w14:textId="31004077" w:rsidR="00343880" w:rsidRDefault="00343880" w:rsidP="00343880">
      <w:r>
        <w:t>Streszczenie w języku angielskim</w:t>
      </w:r>
    </w:p>
    <w:p w14:paraId="56C165D0" w14:textId="77777777" w:rsidR="00343880" w:rsidRDefault="00343880" w:rsidP="00343880">
      <w:r>
        <w:t>Impact of the application of cross-linked hyaluronic acid on the outcomes of treatment of</w:t>
      </w:r>
    </w:p>
    <w:p w14:paraId="546BC22A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multiple gingival recessions using a modified tunnel technique with subepithelial</w:t>
      </w:r>
    </w:p>
    <w:p w14:paraId="4504AAC9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connective tissue graft.</w:t>
      </w:r>
    </w:p>
    <w:p w14:paraId="5F18BF94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Introduction</w:t>
      </w:r>
    </w:p>
    <w:p w14:paraId="537A7372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Gingival recessions (GR) are a common dental problem that affects patients of all ages and</w:t>
      </w:r>
    </w:p>
    <w:p w14:paraId="1BABBEB9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results in exposed tooth root surfaces. Untreated recessions can lead to sensitivity, non-carious</w:t>
      </w:r>
    </w:p>
    <w:p w14:paraId="26C07EAC" w14:textId="77777777" w:rsidR="00343880" w:rsidRDefault="00343880" w:rsidP="00343880">
      <w:r w:rsidRPr="00343880">
        <w:rPr>
          <w:lang w:val="sv-SE"/>
        </w:rPr>
        <w:t xml:space="preserve">cervical lesions, root caries and aesthetic problems. </w:t>
      </w:r>
      <w:r>
        <w:t>A popular surgical technique used to treat</w:t>
      </w:r>
    </w:p>
    <w:p w14:paraId="41C8608E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gingival recessions is the modified tunnel technique (MCAT), often combined with the use of</w:t>
      </w:r>
    </w:p>
    <w:p w14:paraId="3F2CF9C8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subepithelial connective tissue grafting (SCTG). In recent years, there has been increased</w:t>
      </w:r>
    </w:p>
    <w:p w14:paraId="3B775176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interest in the potential use of hyaluronic acid (HA) in periodontal plastic surgery, due to its</w:t>
      </w:r>
    </w:p>
    <w:p w14:paraId="6B7CF39B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regenerative properties, accelerating healing and angiogenesis, as well as stimulating collagen</w:t>
      </w:r>
    </w:p>
    <w:p w14:paraId="339A760C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production.</w:t>
      </w:r>
    </w:p>
    <w:p w14:paraId="47AF8433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Materials and methods</w:t>
      </w:r>
    </w:p>
    <w:p w14:paraId="336F6A33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The randomized clinical trial included a group of 24 patients with multiple, symmetrical</w:t>
      </w:r>
    </w:p>
    <w:p w14:paraId="5449FFEA" w14:textId="77777777" w:rsidR="00343880" w:rsidRDefault="00343880" w:rsidP="00343880">
      <w:r w:rsidRPr="00343880">
        <w:rPr>
          <w:lang w:val="sv-SE"/>
        </w:rPr>
        <w:t xml:space="preserve">gingival recessions of types RT1 and RT2. </w:t>
      </w:r>
      <w:r>
        <w:t>The study was conducted as a split-mouth, with one</w:t>
      </w:r>
    </w:p>
    <w:p w14:paraId="35EBA899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side of the dental arch being the study side and the other side being the control side. A total of</w:t>
      </w:r>
    </w:p>
    <w:p w14:paraId="2CAFC156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266 gingival recessions were assessed, with 133 recessions each in the study and control groups.</w:t>
      </w:r>
    </w:p>
    <w:p w14:paraId="6D98CC38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The MCAT+SCTG procedure with hyaluronic acid (HA) application was performed in the</w:t>
      </w:r>
    </w:p>
    <w:p w14:paraId="19DF613B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study group, while the MCAT+SCTG procedure without HA was performed in the control</w:t>
      </w:r>
    </w:p>
    <w:p w14:paraId="29A1C2AB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group. Clinical examination at 6 and 12 months after surgical treatment assessed gingival</w:t>
      </w:r>
    </w:p>
    <w:p w14:paraId="3DB5D05F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recession height (GRH), recession width (RW), clinical attachment level (CAL), keratinized</w:t>
      </w:r>
    </w:p>
    <w:p w14:paraId="03079379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tissue width (KTW), gingival thickness (GT) and aesthetic root coverage index (RES). The</w:t>
      </w:r>
    </w:p>
    <w:p w14:paraId="54B13CF5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primary endpoint was mean root coverage (MRC). In addition, histological analysis of the</w:t>
      </w:r>
    </w:p>
    <w:p w14:paraId="2E7C5F18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gingiva 12 months after the treatments was performed to assess the effect of HA on the tissue</w:t>
      </w:r>
    </w:p>
    <w:p w14:paraId="7458EF43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and cellular architecture of the recipient area. All samples were stained with haematoxylin and</w:t>
      </w:r>
    </w:p>
    <w:p w14:paraId="12DFCB7D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eosin, Masson's trichrome, Verohoeff-van Gieson stain and Alcian Blue stain for semiquantitative</w:t>
      </w:r>
    </w:p>
    <w:p w14:paraId="1F9A2E1B" w14:textId="01044345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evaluation.</w:t>
      </w:r>
    </w:p>
    <w:p w14:paraId="78E77A3A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Results</w:t>
      </w:r>
    </w:p>
    <w:p w14:paraId="6348FAA7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lastRenderedPageBreak/>
        <w:t>Significant improvements in all assessed clinical and aesthetic parameters were observed in</w:t>
      </w:r>
    </w:p>
    <w:p w14:paraId="01C4D4FA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both groups at 6 and 12 months after surgical treatment. No significant difference in MRC was</w:t>
      </w:r>
    </w:p>
    <w:p w14:paraId="772B3B68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observed between the groups (MRC in the study group 84.32%±34.46 and 85.71%±36.43 in</w:t>
      </w:r>
    </w:p>
    <w:p w14:paraId="5092F4A7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the control group, p=0.9910). Both treatments led to high aesthetic results (RES in the study</w:t>
      </w:r>
    </w:p>
    <w:p w14:paraId="30C07C6A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group 9.51±1.01 and 9.26±1.10 in the control group, p=0.7292). The use of HA significantly</w:t>
      </w:r>
    </w:p>
    <w:p w14:paraId="6371CEDD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improved the appearance of the soft tissue surface (STT) (p=0.0091). The other parameters</w:t>
      </w:r>
    </w:p>
    <w:p w14:paraId="2019E4C1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included in the RES did not differ significantly between groups. Histological evaluation showed</w:t>
      </w:r>
    </w:p>
    <w:p w14:paraId="1C698C3E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a significantly higher number of elastic fibers and a moderate increase in collagen fiber density</w:t>
      </w:r>
    </w:p>
    <w:p w14:paraId="1835EEFB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in biopsy specimens taken from the study sites compared to control sites (p=0.0419 and</w:t>
      </w:r>
    </w:p>
    <w:p w14:paraId="681DDF75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p=0.300, respectively).</w:t>
      </w:r>
    </w:p>
    <w:p w14:paraId="5D128842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Conclusions</w:t>
      </w:r>
    </w:p>
    <w:p w14:paraId="2B023660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The study showed that the combination of the MCAT technique with SCTG is a very effective</w:t>
      </w:r>
    </w:p>
    <w:p w14:paraId="0EECD805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method for the treatment of multiple gingival recessions. The application of HA did not</w:t>
      </w:r>
    </w:p>
    <w:p w14:paraId="2F27F4CF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significantly affect the complete coverage of the recession but improved the appearance of the</w:t>
      </w:r>
    </w:p>
    <w:p w14:paraId="2AE77D7F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gingival surface. In addition, the use of HA resulted in increased elastic and collagen fibers in</w:t>
      </w:r>
    </w:p>
    <w:p w14:paraId="0DC631E1" w14:textId="77777777" w:rsidR="00343880" w:rsidRPr="00343880" w:rsidRDefault="00343880" w:rsidP="00343880">
      <w:pPr>
        <w:rPr>
          <w:lang w:val="sv-SE"/>
        </w:rPr>
      </w:pPr>
      <w:r w:rsidRPr="00343880">
        <w:rPr>
          <w:lang w:val="sv-SE"/>
        </w:rPr>
        <w:t>the recipient areas. The use of hyaluronic acid can be particularly beneficial in cases where</w:t>
      </w:r>
    </w:p>
    <w:p w14:paraId="45928A64" w14:textId="077435D2" w:rsidR="00DF46A9" w:rsidRDefault="00343880" w:rsidP="00343880">
      <w:r>
        <w:t>aesthetics plays a key role.</w:t>
      </w:r>
    </w:p>
    <w:sectPr w:rsidR="00DF4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B81"/>
    <w:rsid w:val="00343880"/>
    <w:rsid w:val="00CC4275"/>
    <w:rsid w:val="00D35B81"/>
    <w:rsid w:val="00DF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84630"/>
  <w15:chartTrackingRefBased/>
  <w15:docId w15:val="{C7560C27-C54E-4593-8CF4-152CFF449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5B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5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5B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5B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5B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5B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5B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5B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5B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5B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5B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5B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5B8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5B8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5B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5B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5B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5B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5B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5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5B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35B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5B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35B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5B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35B8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5B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5B8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5B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3020</Characters>
  <Application>Microsoft Office Word</Application>
  <DocSecurity>0</DocSecurity>
  <Lines>25</Lines>
  <Paragraphs>7</Paragraphs>
  <ScaleCrop>false</ScaleCrop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Woźniak</dc:creator>
  <cp:keywords/>
  <dc:description/>
  <cp:lastModifiedBy>Maria Woźniak</cp:lastModifiedBy>
  <cp:revision>2</cp:revision>
  <dcterms:created xsi:type="dcterms:W3CDTF">2025-01-14T09:47:00Z</dcterms:created>
  <dcterms:modified xsi:type="dcterms:W3CDTF">2025-01-14T09:48:00Z</dcterms:modified>
</cp:coreProperties>
</file>