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BB79F" w14:textId="4CEEFAFC" w:rsidR="00156CEF" w:rsidRDefault="00156CEF" w:rsidP="00156CEF">
      <w:r>
        <w:t>Lek. Dominika Jaguś</w:t>
      </w:r>
    </w:p>
    <w:p w14:paraId="133FDF21" w14:textId="138A5E98" w:rsidR="00156CEF" w:rsidRPr="00156CEF" w:rsidRDefault="00156CEF" w:rsidP="00156CEF">
      <w:r w:rsidRPr="00156CEF">
        <w:t xml:space="preserve">Streszczenie </w:t>
      </w:r>
    </w:p>
    <w:p w14:paraId="145FA9AA" w14:textId="77777777" w:rsidR="00156CEF" w:rsidRPr="00156CEF" w:rsidRDefault="00156CEF" w:rsidP="00156CEF">
      <w:r w:rsidRPr="00156CEF">
        <w:rPr>
          <w:b/>
          <w:bCs/>
        </w:rPr>
        <w:t xml:space="preserve">Wstęp. </w:t>
      </w:r>
      <w:r w:rsidRPr="00156CEF">
        <w:t xml:space="preserve">Ultrasonograficzna ocena struktur twarzy jest nową dziedziną diagnostyki obrazowej. Do jej prężnego rozwoju przyczynia się postęp technologiczny aparatów ultrasonograficznych, jak również, szerokie zainteresowanie chirurgią rekonstrukcyjną, oraz zabiegami z zakresu medycyny estetycznej. Mnogość wykonywanych procedur pociąga za sobą poszukiwanie metod zwiększających ich bezpieczeństwo oraz skuteczność. Ostre powikłania po zabiegach, wymagają protokołów szybkiej diagnostyki. Krytycznym powikłaniem pozabiegowym, jest zamknięcie lub częściowy ucisk naczynia, będącego gałęzią końcową zaopatrującą dany region twarzy, co może skutkować martwicą skóry, a w szczególnych przypadkach utratą wzroku. Nawet przy dobrej znajomości anatomii twarzy i doświadczeniu zawodowym, może dojść do zdarzeń niepożądanych. Ultrasonograficzna ocena naczyń i otaczających je struktur, głównie mięśniowych, jest kluczowa do podniesienia bezpieczeństwa omawianych zabiegów. Dostępne publikacje nie wyczerpują tematu oceny mięśni mimicznych i naczyń środkowej części twarzy. </w:t>
      </w:r>
    </w:p>
    <w:p w14:paraId="34FCACD6" w14:textId="77777777" w:rsidR="00156CEF" w:rsidRPr="00156CEF" w:rsidRDefault="00156CEF" w:rsidP="00156CEF">
      <w:r w:rsidRPr="00156CEF">
        <w:rPr>
          <w:b/>
          <w:bCs/>
        </w:rPr>
        <w:t xml:space="preserve">Założenia i cel pracy. </w:t>
      </w:r>
      <w:r w:rsidRPr="00156CEF">
        <w:t xml:space="preserve">Podstawowym celem pracy była charakterystyka anatomii ultrasonograficznej twarzy, ze szczególnym uwzględnieniem mięśni mimicznych i naczyń. Składowe pracy zakładały: prezentację anatomii ultrasonograficznej twarzy, wybranych mięśni mimicznych i tętnic, wyliczenie średniej grubości i odległości od naskórka wybranych mięśni, wyliczenie średniej szerokości i odległości od naskórka wybranych tętnic, wyznaczenie średnich prędkości szczytowo-skurczowej (PSV) oraz końcowo-rozkurczowej (EDV) wybranych tętnic, wyznaczenie indeksu oporu (RI) i indeksu pulsacji tętnic (PI), ocenę zależności wybranych parametrów od indywidualnych cech pacjenta (wiek, BMI), porównanie zmienności anatomicznej w obrębie twarzy w zależności od płci, porównanie stron twarzy pod względem symetryczności badanych parametrów mięśni i tętnic, ocenę jednoczesnego wpływu wieku, płci, BMI i strony twarzy na parametry USG badanych struktur twarzy. </w:t>
      </w:r>
    </w:p>
    <w:p w14:paraId="5C7F4B8E" w14:textId="19775F29" w:rsidR="00156CEF" w:rsidRPr="00156CEF" w:rsidRDefault="00156CEF" w:rsidP="00156CEF">
      <w:r w:rsidRPr="00156CEF">
        <w:rPr>
          <w:b/>
          <w:bCs/>
        </w:rPr>
        <w:t xml:space="preserve">Materiał i metoda. </w:t>
      </w:r>
      <w:r w:rsidRPr="00156CEF">
        <w:t xml:space="preserve">Zbadano 127 ochotników w wieku 21-40 lat, obu płci. Do badania włączono 10 mięśni mimicznych parzystych (brzusiec czołowy m. potyliczno-czołowego, m. podłużny, m. marszczący brwi, m. okrężny oka, m. dźwigacz kąta ust, m. dźwigacz wargi górnej, m. obniżacz kąta ust, m. obniżacz wargi dolnej, m. jarzmowy większy, m. bródkowy) oraz 1 mięsień nieparzysty (m. okrężny ust). Z badania wykluczono mięśnie jarzmowy mniejszy oraz śmiechowy. Do badania włączono 7 tętnic (t. nadbloczkowa, t. nadoczodołowa, t. podoczodołowa, t. kątowa, t. twarzowa, t. wargowa górna, t. wargowa dolna). Badanie USG było wykonywane przy użyciu systemu Samsung RS80, z wykorzystaniem głowicy liniowej </w:t>
      </w:r>
    </w:p>
    <w:p w14:paraId="1A82812C" w14:textId="77777777" w:rsidR="00156CEF" w:rsidRPr="00156CEF" w:rsidRDefault="00156CEF" w:rsidP="00156CEF"/>
    <w:p w14:paraId="1BA22EC2" w14:textId="77777777" w:rsidR="00156CEF" w:rsidRPr="00156CEF" w:rsidRDefault="00156CEF" w:rsidP="00156CEF">
      <w:r w:rsidRPr="00156CEF">
        <w:t xml:space="preserve">LA4-18B. Badano dwie połowy twarzy, u każdego ochotnika. Oceniano grubość i odległość mięśni od naskórka, szerokości i odległość naczyń od naskórka, prędkości przepływu w tętnicach oraz indeks oporu i indeks pulsacji. Dodatkowo zapisywano wagę, wzrost, płeć ochotników. Następnie dokonano analizy statystycznej wyznaczonych parametrów. </w:t>
      </w:r>
    </w:p>
    <w:p w14:paraId="37E87DAD" w14:textId="77777777" w:rsidR="00156CEF" w:rsidRPr="00156CEF" w:rsidRDefault="00156CEF" w:rsidP="00156CEF">
      <w:r w:rsidRPr="00156CEF">
        <w:rPr>
          <w:b/>
          <w:bCs/>
        </w:rPr>
        <w:t xml:space="preserve">Wyniki. </w:t>
      </w:r>
      <w:r w:rsidRPr="00156CEF">
        <w:t xml:space="preserve">Badane mięśnie i tętnice zostały dobrze zobrazowane przy pomocy ultrasonografii. Na podstawie analizy statystycznej wyznaczono średnie wartości grubości mięśni, ich odległości od naskórka, szerokość naczyń, ich odległość od naskórka, średnie prędkości szczytowo-skurczowe (PSV) oraz końcowo-rozkurczowe (EDV), średnie indeksy oporu (RI) i pulsacji (PI). W kolejnych analizach oceniano wpływ wieku, BMI, płci, strony twarzy na badane parametry. Wykazano brak wpływu wieku, co potwierdziło prawidłowy dobór grupy. Wykazano dodatnią </w:t>
      </w:r>
      <w:r w:rsidRPr="00156CEF">
        <w:lastRenderedPageBreak/>
        <w:t xml:space="preserve">korelację BMI z odległością mięśni i naczyń od naskórka. Wykazano różnice w obserwowanych wartościach badanych parametrów pomiędzy grupą kobiet i mężczyzn, różnice te dotyczą zarówno rozkładów, jak i median. Tylko w przypadku odległości od naskórka t. twarzowej większa wartość parametru obserwowana była w grupie kobiet, w pozostałych przypadkach stwierdzenia różnic u mężczyzn występowały grubsze i głębiej położone mięśnie, szersze i głębiej położone tętnice oraz większe wartości PSV, EDV, RI i PI. Wykazano asymetrie we wszystkich rozważanych strukturach, która dotyczyła wszystkich badanych parametrów. W ostatniej analizie statystycznej oceniono wpływ wszystkich badanych zmiennych na parametry struktur anatomicznych. Wykazano zależności dotyczące wpływu BMI, płci i strony na poszczególny struktury anatomiczne twarzy, natomiast w żadnym z dopasowanych modeli wiek nie był zmienną predykcyjną. </w:t>
      </w:r>
    </w:p>
    <w:p w14:paraId="539A9FBD" w14:textId="6D2A2E56" w:rsidR="00DF46A9" w:rsidRDefault="00156CEF" w:rsidP="00156CEF">
      <w:r w:rsidRPr="00156CEF">
        <w:rPr>
          <w:b/>
          <w:bCs/>
        </w:rPr>
        <w:t xml:space="preserve">Wnioski. </w:t>
      </w:r>
      <w:r w:rsidRPr="00156CEF">
        <w:t>Ultrasonografia jest skuteczną metodą oceny struktur anatomicznych twarzy. Pozwala na zebranie pomiarów grubości i odległości mięśni od naskórka. Umożliwia ocenę tętnic pod kątem szerokości, głębokości, prędkości przepływu krwi oraz indeksów oporu i pulsacji. Jest bezpieczną metodą diagnostyczną. Anatomia twarzy cechuje się znaczną zmiennością zależną od BMI, pomiędzy płciami oraz w obrębie jednej osoby pomiędzy stronami twarzy. Jako metoda diagnostyczna może być użyteczna w przygotowaniu pacjenta do zabiegu rekonstrukcji twarzy, zabiegów z zakresu medycyny estetycznej czy chirurgii plastycznej. Może służyć jako narzędzie do monitorowania śródzabiegowego. Jest metodą szybkiej oceny powikłań pozabiegowych.</w:t>
      </w:r>
    </w:p>
    <w:sectPr w:rsidR="00DF46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E7"/>
    <w:rsid w:val="00156CEF"/>
    <w:rsid w:val="005B5DA9"/>
    <w:rsid w:val="00DF46A9"/>
    <w:rsid w:val="00EE04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4F7B"/>
  <w15:chartTrackingRefBased/>
  <w15:docId w15:val="{D11D6C1D-7FB4-46CF-9A9F-47488C5F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0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EE0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E04E7"/>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E04E7"/>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E04E7"/>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E04E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04E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04E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04E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04E7"/>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E04E7"/>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E04E7"/>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E04E7"/>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E04E7"/>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E04E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04E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04E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04E7"/>
    <w:rPr>
      <w:rFonts w:eastAsiaTheme="majorEastAsia" w:cstheme="majorBidi"/>
      <w:color w:val="272727" w:themeColor="text1" w:themeTint="D8"/>
    </w:rPr>
  </w:style>
  <w:style w:type="paragraph" w:styleId="Tytu">
    <w:name w:val="Title"/>
    <w:basedOn w:val="Normalny"/>
    <w:next w:val="Normalny"/>
    <w:link w:val="TytuZnak"/>
    <w:uiPriority w:val="10"/>
    <w:qFormat/>
    <w:rsid w:val="00EE0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04E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04E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04E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04E7"/>
    <w:pPr>
      <w:spacing w:before="160"/>
      <w:jc w:val="center"/>
    </w:pPr>
    <w:rPr>
      <w:i/>
      <w:iCs/>
      <w:color w:val="404040" w:themeColor="text1" w:themeTint="BF"/>
    </w:rPr>
  </w:style>
  <w:style w:type="character" w:customStyle="1" w:styleId="CytatZnak">
    <w:name w:val="Cytat Znak"/>
    <w:basedOn w:val="Domylnaczcionkaakapitu"/>
    <w:link w:val="Cytat"/>
    <w:uiPriority w:val="29"/>
    <w:rsid w:val="00EE04E7"/>
    <w:rPr>
      <w:i/>
      <w:iCs/>
      <w:color w:val="404040" w:themeColor="text1" w:themeTint="BF"/>
    </w:rPr>
  </w:style>
  <w:style w:type="paragraph" w:styleId="Akapitzlist">
    <w:name w:val="List Paragraph"/>
    <w:basedOn w:val="Normalny"/>
    <w:uiPriority w:val="34"/>
    <w:qFormat/>
    <w:rsid w:val="00EE04E7"/>
    <w:pPr>
      <w:ind w:left="720"/>
      <w:contextualSpacing/>
    </w:pPr>
  </w:style>
  <w:style w:type="character" w:styleId="Wyrnienieintensywne">
    <w:name w:val="Intense Emphasis"/>
    <w:basedOn w:val="Domylnaczcionkaakapitu"/>
    <w:uiPriority w:val="21"/>
    <w:qFormat/>
    <w:rsid w:val="00EE04E7"/>
    <w:rPr>
      <w:i/>
      <w:iCs/>
      <w:color w:val="0F4761" w:themeColor="accent1" w:themeShade="BF"/>
    </w:rPr>
  </w:style>
  <w:style w:type="paragraph" w:styleId="Cytatintensywny">
    <w:name w:val="Intense Quote"/>
    <w:basedOn w:val="Normalny"/>
    <w:next w:val="Normalny"/>
    <w:link w:val="CytatintensywnyZnak"/>
    <w:uiPriority w:val="30"/>
    <w:qFormat/>
    <w:rsid w:val="00EE0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E04E7"/>
    <w:rPr>
      <w:i/>
      <w:iCs/>
      <w:color w:val="0F4761" w:themeColor="accent1" w:themeShade="BF"/>
    </w:rPr>
  </w:style>
  <w:style w:type="character" w:styleId="Odwoanieintensywne">
    <w:name w:val="Intense Reference"/>
    <w:basedOn w:val="Domylnaczcionkaakapitu"/>
    <w:uiPriority w:val="32"/>
    <w:qFormat/>
    <w:rsid w:val="00EE04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748</Words>
  <Characters>4488</Characters>
  <Application>Microsoft Office Word</Application>
  <DocSecurity>0</DocSecurity>
  <Lines>37</Lines>
  <Paragraphs>10</Paragraphs>
  <ScaleCrop>false</ScaleCrop>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Woźniak</dc:creator>
  <cp:keywords/>
  <dc:description/>
  <cp:lastModifiedBy>Maria Woźniak</cp:lastModifiedBy>
  <cp:revision>2</cp:revision>
  <dcterms:created xsi:type="dcterms:W3CDTF">2025-01-29T05:50:00Z</dcterms:created>
  <dcterms:modified xsi:type="dcterms:W3CDTF">2025-01-29T05:53:00Z</dcterms:modified>
</cp:coreProperties>
</file>