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DB7D1" w14:textId="77777777" w:rsidR="00E83568" w:rsidRDefault="00E83568" w:rsidP="00E83568">
      <w:pPr>
        <w:widowControl w:val="0"/>
        <w:pBdr>
          <w:bottom w:val="single" w:sz="4" w:space="1" w:color="auto"/>
        </w:pBdr>
        <w:autoSpaceDE w:val="0"/>
        <w:autoSpaceDN w:val="0"/>
        <w:adjustRightInd w:val="0"/>
        <w:jc w:val="center"/>
        <w:rPr>
          <w:rFonts w:cs="Consolas"/>
          <w:b/>
          <w:sz w:val="28"/>
          <w:szCs w:val="28"/>
        </w:rPr>
      </w:pPr>
    </w:p>
    <w:p w14:paraId="12A1A0C6" w14:textId="77777777" w:rsidR="00E83568" w:rsidRDefault="00E83568" w:rsidP="00E83568">
      <w:pPr>
        <w:widowControl w:val="0"/>
        <w:autoSpaceDE w:val="0"/>
        <w:autoSpaceDN w:val="0"/>
        <w:adjustRightInd w:val="0"/>
        <w:jc w:val="center"/>
        <w:rPr>
          <w:rFonts w:cs="Consolas"/>
          <w:b/>
          <w:sz w:val="28"/>
          <w:szCs w:val="28"/>
        </w:rPr>
      </w:pPr>
    </w:p>
    <w:p w14:paraId="5DA18938" w14:textId="77777777" w:rsidR="00AA4032" w:rsidRDefault="00E83568" w:rsidP="00E83568">
      <w:pPr>
        <w:widowControl w:val="0"/>
        <w:autoSpaceDE w:val="0"/>
        <w:autoSpaceDN w:val="0"/>
        <w:adjustRightInd w:val="0"/>
        <w:jc w:val="center"/>
        <w:rPr>
          <w:rFonts w:cs="Consolas"/>
          <w:b/>
          <w:i/>
          <w:sz w:val="28"/>
          <w:szCs w:val="28"/>
        </w:rPr>
      </w:pPr>
      <w:r w:rsidRPr="00E83568">
        <w:rPr>
          <w:rFonts w:cs="Consolas"/>
          <w:b/>
          <w:sz w:val="28"/>
          <w:szCs w:val="28"/>
        </w:rPr>
        <w:t xml:space="preserve">JOB OFFER </w:t>
      </w:r>
      <w:r w:rsidRPr="00E83568">
        <w:rPr>
          <w:rFonts w:cs="Consolas"/>
          <w:sz w:val="28"/>
          <w:szCs w:val="28"/>
        </w:rPr>
        <w:t xml:space="preserve">– </w:t>
      </w:r>
      <w:r w:rsidRPr="00E83568">
        <w:rPr>
          <w:rFonts w:cs="Consolas"/>
          <w:b/>
          <w:i/>
          <w:sz w:val="28"/>
          <w:szCs w:val="28"/>
        </w:rPr>
        <w:t>Post-Doc</w:t>
      </w:r>
    </w:p>
    <w:p w14:paraId="191A1984" w14:textId="77777777" w:rsidR="00A1190B" w:rsidRDefault="00A1190B" w:rsidP="00E83568">
      <w:pPr>
        <w:widowControl w:val="0"/>
        <w:autoSpaceDE w:val="0"/>
        <w:autoSpaceDN w:val="0"/>
        <w:adjustRightInd w:val="0"/>
        <w:jc w:val="center"/>
        <w:rPr>
          <w:rFonts w:cs="Consolas"/>
          <w:b/>
          <w:i/>
          <w:sz w:val="28"/>
          <w:szCs w:val="28"/>
        </w:rPr>
      </w:pPr>
    </w:p>
    <w:p w14:paraId="68A30331" w14:textId="2882C3DF" w:rsidR="00E83568" w:rsidRPr="00E83568" w:rsidRDefault="00A1190B" w:rsidP="00EA0AE2">
      <w:pPr>
        <w:widowControl w:val="0"/>
        <w:autoSpaceDE w:val="0"/>
        <w:autoSpaceDN w:val="0"/>
        <w:adjustRightInd w:val="0"/>
        <w:jc w:val="center"/>
        <w:rPr>
          <w:rFonts w:cs="Consolas"/>
          <w:b/>
        </w:rPr>
      </w:pPr>
      <w:r w:rsidRPr="00A1190B">
        <w:rPr>
          <w:rFonts w:cs="Consolas"/>
          <w:b/>
          <w:sz w:val="28"/>
          <w:szCs w:val="28"/>
        </w:rPr>
        <w:t xml:space="preserve">A postdoctoral research position is available to participate in a </w:t>
      </w:r>
      <w:r w:rsidR="004E5A73" w:rsidRPr="00A1190B">
        <w:rPr>
          <w:rFonts w:cs="Consolas"/>
          <w:b/>
          <w:sz w:val="28"/>
          <w:szCs w:val="28"/>
        </w:rPr>
        <w:t>research</w:t>
      </w:r>
      <w:r w:rsidR="004E5A73">
        <w:rPr>
          <w:rFonts w:cs="Consolas"/>
          <w:b/>
          <w:sz w:val="28"/>
          <w:szCs w:val="28"/>
        </w:rPr>
        <w:t xml:space="preserve"> that</w:t>
      </w:r>
      <w:r w:rsidRPr="00A1190B">
        <w:rPr>
          <w:rFonts w:cs="Consolas"/>
          <w:b/>
          <w:sz w:val="28"/>
          <w:szCs w:val="28"/>
        </w:rPr>
        <w:t xml:space="preserve"> has been designed to </w:t>
      </w:r>
      <w:r w:rsidR="00EA0AE2" w:rsidRPr="00EA0AE2">
        <w:rPr>
          <w:rFonts w:cs="Consolas"/>
          <w:b/>
          <w:sz w:val="28"/>
          <w:szCs w:val="28"/>
        </w:rPr>
        <w:t xml:space="preserve">study the role of the liver- and HSPCs-derived </w:t>
      </w:r>
      <w:proofErr w:type="spellStart"/>
      <w:r w:rsidR="00EA0AE2" w:rsidRPr="00EA0AE2">
        <w:rPr>
          <w:rFonts w:cs="Consolas"/>
          <w:b/>
          <w:sz w:val="28"/>
          <w:szCs w:val="28"/>
        </w:rPr>
        <w:t>ComC</w:t>
      </w:r>
      <w:proofErr w:type="spellEnd"/>
      <w:r w:rsidR="00EA0AE2" w:rsidRPr="00EA0AE2">
        <w:rPr>
          <w:rFonts w:cs="Consolas"/>
          <w:b/>
          <w:sz w:val="28"/>
          <w:szCs w:val="28"/>
        </w:rPr>
        <w:t xml:space="preserve"> in homing, engraftment, and post-transplant expansion of H</w:t>
      </w:r>
      <w:r w:rsidR="00EA0AE2">
        <w:rPr>
          <w:rFonts w:cs="Consolas"/>
          <w:b/>
          <w:sz w:val="28"/>
          <w:szCs w:val="28"/>
        </w:rPr>
        <w:t xml:space="preserve">ematopoietic </w:t>
      </w:r>
      <w:r w:rsidR="00EA0AE2" w:rsidRPr="00EA0AE2">
        <w:rPr>
          <w:rFonts w:cs="Consolas"/>
          <w:b/>
          <w:sz w:val="28"/>
          <w:szCs w:val="28"/>
        </w:rPr>
        <w:t>S</w:t>
      </w:r>
      <w:r w:rsidR="00EA0AE2">
        <w:rPr>
          <w:rFonts w:cs="Consolas"/>
          <w:b/>
          <w:sz w:val="28"/>
          <w:szCs w:val="28"/>
        </w:rPr>
        <w:t xml:space="preserve">tem </w:t>
      </w:r>
      <w:r w:rsidR="00EA0AE2" w:rsidRPr="00EA0AE2">
        <w:rPr>
          <w:rFonts w:cs="Consolas"/>
          <w:b/>
          <w:sz w:val="28"/>
          <w:szCs w:val="28"/>
        </w:rPr>
        <w:t>P</w:t>
      </w:r>
      <w:r w:rsidR="00EA0AE2">
        <w:rPr>
          <w:rFonts w:cs="Consolas"/>
          <w:b/>
          <w:sz w:val="28"/>
          <w:szCs w:val="28"/>
        </w:rPr>
        <w:t xml:space="preserve">rogenitor </w:t>
      </w:r>
      <w:r w:rsidR="00EA0AE2" w:rsidRPr="00EA0AE2">
        <w:rPr>
          <w:rFonts w:cs="Consolas"/>
          <w:b/>
          <w:sz w:val="28"/>
          <w:szCs w:val="28"/>
        </w:rPr>
        <w:t>C</w:t>
      </w:r>
      <w:r w:rsidR="00EA0AE2">
        <w:rPr>
          <w:rFonts w:cs="Consolas"/>
          <w:b/>
          <w:sz w:val="28"/>
          <w:szCs w:val="28"/>
        </w:rPr>
        <w:t>ell</w:t>
      </w:r>
      <w:r w:rsidR="00EA0AE2" w:rsidRPr="00EA0AE2">
        <w:rPr>
          <w:rFonts w:cs="Consolas"/>
          <w:b/>
          <w:sz w:val="28"/>
          <w:szCs w:val="28"/>
        </w:rPr>
        <w:t>s</w:t>
      </w:r>
    </w:p>
    <w:p w14:paraId="50BE5FF1" w14:textId="77777777" w:rsidR="00E83568" w:rsidRDefault="00E83568" w:rsidP="00760FFD">
      <w:pPr>
        <w:widowControl w:val="0"/>
        <w:autoSpaceDE w:val="0"/>
        <w:autoSpaceDN w:val="0"/>
        <w:adjustRightInd w:val="0"/>
        <w:rPr>
          <w:rFonts w:cs="Consolas"/>
        </w:rPr>
      </w:pPr>
    </w:p>
    <w:p w14:paraId="32738508" w14:textId="77777777" w:rsidR="00E83568" w:rsidRDefault="00E83568" w:rsidP="00E83568">
      <w:pPr>
        <w:widowControl w:val="0"/>
        <w:autoSpaceDE w:val="0"/>
        <w:autoSpaceDN w:val="0"/>
        <w:adjustRightInd w:val="0"/>
        <w:jc w:val="center"/>
        <w:rPr>
          <w:rFonts w:cs="Consolas"/>
        </w:rPr>
      </w:pPr>
      <w:r>
        <w:rPr>
          <w:rFonts w:cs="Consolas"/>
          <w:b/>
        </w:rPr>
        <w:t>Project Title</w:t>
      </w:r>
      <w:r w:rsidR="00AA4032" w:rsidRPr="00F2654D">
        <w:rPr>
          <w:rFonts w:cs="Consolas"/>
          <w:b/>
        </w:rPr>
        <w:t>:</w:t>
      </w:r>
      <w:r w:rsidR="00AA4032" w:rsidRPr="00AA4032">
        <w:rPr>
          <w:rFonts w:cs="Consolas"/>
        </w:rPr>
        <w:t xml:space="preserve"> </w:t>
      </w:r>
    </w:p>
    <w:p w14:paraId="238635DE" w14:textId="49E56F98" w:rsidR="004E5A73" w:rsidRPr="003D135A" w:rsidRDefault="004E5A73" w:rsidP="008126A5">
      <w:pPr>
        <w:widowControl w:val="0"/>
        <w:autoSpaceDE w:val="0"/>
        <w:autoSpaceDN w:val="0"/>
        <w:adjustRightInd w:val="0"/>
        <w:jc w:val="center"/>
        <w:rPr>
          <w:i/>
          <w:iCs/>
          <w:sz w:val="22"/>
          <w:szCs w:val="22"/>
        </w:rPr>
      </w:pPr>
      <w:r w:rsidRPr="004E5A73">
        <w:rPr>
          <w:i/>
        </w:rPr>
        <w:tab/>
      </w:r>
      <w:r w:rsidR="003D135A">
        <w:rPr>
          <w:i/>
        </w:rPr>
        <w:t>“</w:t>
      </w:r>
      <w:r w:rsidR="00EA0AE2" w:rsidRPr="00EA0AE2">
        <w:rPr>
          <w:rStyle w:val="Pogrubienie"/>
          <w:rFonts w:ascii="Roboto" w:hAnsi="Roboto"/>
          <w:i/>
          <w:iCs/>
          <w:color w:val="0A0A0A"/>
          <w:sz w:val="22"/>
          <w:szCs w:val="22"/>
          <w:shd w:val="clear" w:color="auto" w:fill="FEFEFE"/>
        </w:rPr>
        <w:t>The novel view on circulating and hematopoietic stem cell-expressed complement in hematopoietic posttransplant recovery</w:t>
      </w:r>
      <w:r w:rsidR="003D135A">
        <w:rPr>
          <w:rStyle w:val="Pogrubienie"/>
          <w:rFonts w:ascii="Roboto" w:hAnsi="Roboto"/>
          <w:i/>
          <w:iCs/>
          <w:color w:val="0A0A0A"/>
          <w:sz w:val="22"/>
          <w:szCs w:val="22"/>
          <w:shd w:val="clear" w:color="auto" w:fill="FEFEFE"/>
        </w:rPr>
        <w:t>”</w:t>
      </w:r>
    </w:p>
    <w:p w14:paraId="50F79EFD" w14:textId="77777777" w:rsidR="008126A5" w:rsidRDefault="008126A5" w:rsidP="008126A5">
      <w:pPr>
        <w:widowControl w:val="0"/>
        <w:autoSpaceDE w:val="0"/>
        <w:autoSpaceDN w:val="0"/>
        <w:adjustRightInd w:val="0"/>
        <w:jc w:val="center"/>
      </w:pPr>
    </w:p>
    <w:p w14:paraId="6ECD3C58" w14:textId="77777777" w:rsidR="00AA4032" w:rsidRPr="006E1E43" w:rsidRDefault="00AA4032" w:rsidP="00E83568">
      <w:pPr>
        <w:widowControl w:val="0"/>
        <w:autoSpaceDE w:val="0"/>
        <w:autoSpaceDN w:val="0"/>
        <w:adjustRightInd w:val="0"/>
        <w:jc w:val="center"/>
        <w:rPr>
          <w:rFonts w:cs="Consolas"/>
          <w:b/>
        </w:rPr>
      </w:pPr>
      <w:r w:rsidRPr="006E1E43">
        <w:rPr>
          <w:rFonts w:cs="Consolas"/>
          <w:b/>
        </w:rPr>
        <w:t>Project</w:t>
      </w:r>
      <w:r w:rsidR="006E1E43" w:rsidRPr="006E1E43">
        <w:rPr>
          <w:rFonts w:cs="Consolas"/>
          <w:b/>
        </w:rPr>
        <w:t xml:space="preserve"> Background</w:t>
      </w:r>
      <w:r w:rsidR="00E83568">
        <w:rPr>
          <w:rFonts w:cs="Consolas"/>
          <w:b/>
        </w:rPr>
        <w:t>:</w:t>
      </w:r>
    </w:p>
    <w:p w14:paraId="4F65C180" w14:textId="3C469395" w:rsidR="00EA0AE2" w:rsidRDefault="00EA0AE2" w:rsidP="00EA0AE2">
      <w:pPr>
        <w:jc w:val="both"/>
        <w:rPr>
          <w:rFonts w:ascii="Arial" w:hAnsi="Arial" w:cs="Arial"/>
          <w:sz w:val="22"/>
          <w:szCs w:val="22"/>
        </w:rPr>
      </w:pPr>
      <w:r w:rsidRPr="0070518F">
        <w:rPr>
          <w:rFonts w:ascii="Arial" w:hAnsi="Arial" w:cs="Arial"/>
          <w:sz w:val="22"/>
          <w:szCs w:val="22"/>
        </w:rPr>
        <w:t>Hematopoietic transplantation is performed by intravenous infusion of donor-derived or autologous hematopoietic stem progenitor cells (</w:t>
      </w:r>
      <w:r w:rsidRPr="0070518F">
        <w:rPr>
          <w:rFonts w:ascii="Arial" w:hAnsi="Arial" w:cs="Arial"/>
          <w:b/>
          <w:bCs/>
          <w:sz w:val="22"/>
          <w:szCs w:val="22"/>
        </w:rPr>
        <w:t>HSPCs</w:t>
      </w:r>
      <w:r w:rsidRPr="0070518F">
        <w:rPr>
          <w:rFonts w:ascii="Arial" w:hAnsi="Arial" w:cs="Arial"/>
          <w:sz w:val="22"/>
          <w:szCs w:val="22"/>
        </w:rPr>
        <w:t>), which, in response to bone marrow (</w:t>
      </w:r>
      <w:r w:rsidRPr="0070518F">
        <w:rPr>
          <w:rFonts w:ascii="Arial" w:hAnsi="Arial" w:cs="Arial"/>
          <w:b/>
          <w:bCs/>
          <w:sz w:val="22"/>
          <w:szCs w:val="22"/>
        </w:rPr>
        <w:t>BM</w:t>
      </w:r>
      <w:r w:rsidRPr="0070518F">
        <w:rPr>
          <w:rFonts w:ascii="Arial" w:hAnsi="Arial" w:cs="Arial"/>
          <w:sz w:val="22"/>
          <w:szCs w:val="22"/>
        </w:rPr>
        <w:t xml:space="preserve">)-expressed chemoattractant navigate and home to BM hematopoietic niches. This process is followed by their engraftment and expansion to repopulate the recipient’s BM </w:t>
      </w:r>
      <w:proofErr w:type="spellStart"/>
      <w:r w:rsidRPr="0070518F">
        <w:rPr>
          <w:rFonts w:ascii="Arial" w:hAnsi="Arial" w:cs="Arial"/>
          <w:sz w:val="22"/>
          <w:szCs w:val="22"/>
        </w:rPr>
        <w:t>myeloablated</w:t>
      </w:r>
      <w:proofErr w:type="spellEnd"/>
      <w:r w:rsidRPr="0070518F">
        <w:rPr>
          <w:rFonts w:ascii="Arial" w:hAnsi="Arial" w:cs="Arial"/>
          <w:sz w:val="22"/>
          <w:szCs w:val="22"/>
        </w:rPr>
        <w:t xml:space="preserve"> </w:t>
      </w:r>
      <w:r>
        <w:rPr>
          <w:rFonts w:ascii="Arial" w:hAnsi="Arial" w:cs="Arial"/>
          <w:sz w:val="22"/>
          <w:szCs w:val="22"/>
        </w:rPr>
        <w:t>before</w:t>
      </w:r>
      <w:r w:rsidRPr="0070518F">
        <w:rPr>
          <w:rFonts w:ascii="Arial" w:hAnsi="Arial" w:cs="Arial"/>
          <w:sz w:val="22"/>
          <w:szCs w:val="22"/>
        </w:rPr>
        <w:t xml:space="preserve"> transplantation. The most important BM chemoattractant is the </w:t>
      </w:r>
      <w:r w:rsidRPr="0070518F">
        <w:rPr>
          <w:rFonts w:ascii="Symbol" w:hAnsi="Symbol" w:cs="Arial"/>
          <w:sz w:val="22"/>
          <w:szCs w:val="22"/>
        </w:rPr>
        <w:t></w:t>
      </w:r>
      <w:r w:rsidRPr="0070518F">
        <w:rPr>
          <w:rFonts w:ascii="Arial" w:hAnsi="Arial" w:cs="Arial"/>
          <w:sz w:val="22"/>
          <w:szCs w:val="22"/>
        </w:rPr>
        <w:t>-chemokine stromal-derived factor 1 (SDF-1). However, its homing role is supported by the bioactive phosphosphingolipid sphingosine-1-phosphate (S1P) and by extracellular adenosine triphosphate (</w:t>
      </w:r>
      <w:proofErr w:type="spellStart"/>
      <w:r w:rsidRPr="0070518F">
        <w:rPr>
          <w:rFonts w:ascii="Arial" w:hAnsi="Arial" w:cs="Arial"/>
          <w:sz w:val="22"/>
          <w:szCs w:val="22"/>
        </w:rPr>
        <w:t>eATP</w:t>
      </w:r>
      <w:proofErr w:type="spellEnd"/>
      <w:r w:rsidRPr="0070518F">
        <w:rPr>
          <w:rFonts w:ascii="Arial" w:hAnsi="Arial" w:cs="Arial"/>
          <w:sz w:val="22"/>
          <w:szCs w:val="22"/>
        </w:rPr>
        <w:t xml:space="preserve">). As we demonstrated in the past, </w:t>
      </w:r>
      <w:r>
        <w:rPr>
          <w:rFonts w:ascii="Arial" w:hAnsi="Arial" w:cs="Arial"/>
          <w:sz w:val="22"/>
          <w:szCs w:val="22"/>
        </w:rPr>
        <w:t xml:space="preserve">the </w:t>
      </w:r>
      <w:r w:rsidRPr="0070518F">
        <w:rPr>
          <w:rFonts w:ascii="Arial" w:hAnsi="Arial" w:cs="Arial"/>
          <w:sz w:val="22"/>
          <w:szCs w:val="22"/>
        </w:rPr>
        <w:t>CXCR4 receptor for SDF-1 must be incorporated into cell surface membrane lipid rafts (</w:t>
      </w:r>
      <w:r w:rsidRPr="0070518F">
        <w:rPr>
          <w:rFonts w:ascii="Arial" w:hAnsi="Arial" w:cs="Arial"/>
          <w:b/>
          <w:bCs/>
          <w:sz w:val="22"/>
          <w:szCs w:val="22"/>
        </w:rPr>
        <w:t>MLRs</w:t>
      </w:r>
      <w:r w:rsidRPr="0070518F">
        <w:rPr>
          <w:rFonts w:ascii="Arial" w:hAnsi="Arial" w:cs="Arial"/>
          <w:sz w:val="22"/>
          <w:szCs w:val="22"/>
        </w:rPr>
        <w:t>) for optimal SDF-1 gradient sensing by HSPCs</w:t>
      </w:r>
      <w:r>
        <w:rPr>
          <w:rFonts w:ascii="Arial" w:hAnsi="Arial" w:cs="Arial"/>
          <w:sz w:val="22"/>
          <w:szCs w:val="22"/>
        </w:rPr>
        <w:t>. Our previous research demonstrated that an important and for many years underestimated role in hematopoiesis plays an innate immunity soluble arm that is complement cascade (</w:t>
      </w:r>
      <w:proofErr w:type="spellStart"/>
      <w:r w:rsidRPr="00290F1C">
        <w:rPr>
          <w:rFonts w:ascii="Arial" w:hAnsi="Arial" w:cs="Arial"/>
          <w:b/>
          <w:bCs/>
          <w:sz w:val="22"/>
          <w:szCs w:val="22"/>
        </w:rPr>
        <w:t>ComC</w:t>
      </w:r>
      <w:proofErr w:type="spellEnd"/>
      <w:r>
        <w:rPr>
          <w:rFonts w:ascii="Arial" w:hAnsi="Arial" w:cs="Arial"/>
          <w:sz w:val="22"/>
          <w:szCs w:val="22"/>
        </w:rPr>
        <w:t xml:space="preserve">). We provided evidence that </w:t>
      </w:r>
      <w:proofErr w:type="spellStart"/>
      <w:r>
        <w:rPr>
          <w:rFonts w:ascii="Arial" w:hAnsi="Arial" w:cs="Arial"/>
          <w:sz w:val="22"/>
          <w:szCs w:val="22"/>
        </w:rPr>
        <w:t>ComC</w:t>
      </w:r>
      <w:proofErr w:type="spellEnd"/>
      <w:r>
        <w:rPr>
          <w:rFonts w:ascii="Arial" w:hAnsi="Arial" w:cs="Arial"/>
          <w:sz w:val="22"/>
          <w:szCs w:val="22"/>
        </w:rPr>
        <w:t xml:space="preserve"> becomes activated in BM during pharmacological mobilization in response to granulocyte colony-stimulating factor (G-CSF) or CXCR4 receptor antagonist AMD3100</w:t>
      </w:r>
      <w:r w:rsidRPr="00402691">
        <w:rPr>
          <w:rFonts w:ascii="Arial" w:hAnsi="Arial" w:cs="Arial"/>
          <w:sz w:val="22"/>
          <w:szCs w:val="22"/>
        </w:rPr>
        <w:t>.</w:t>
      </w:r>
      <w:r>
        <w:rPr>
          <w:rFonts w:ascii="Arial" w:hAnsi="Arial" w:cs="Arial"/>
          <w:sz w:val="22"/>
          <w:szCs w:val="22"/>
        </w:rPr>
        <w:t xml:space="preserve">  In this proposal, we will focus on the role of </w:t>
      </w:r>
      <w:proofErr w:type="spellStart"/>
      <w:r>
        <w:rPr>
          <w:rFonts w:ascii="Arial" w:hAnsi="Arial" w:cs="Arial"/>
          <w:sz w:val="22"/>
          <w:szCs w:val="22"/>
        </w:rPr>
        <w:t>ComC</w:t>
      </w:r>
      <w:proofErr w:type="spellEnd"/>
      <w:r>
        <w:rPr>
          <w:rFonts w:ascii="Arial" w:hAnsi="Arial" w:cs="Arial"/>
          <w:sz w:val="22"/>
          <w:szCs w:val="22"/>
        </w:rPr>
        <w:t xml:space="preserve"> in a </w:t>
      </w:r>
      <w:r w:rsidRPr="00D40F37">
        <w:rPr>
          <w:rFonts w:ascii="Arial" w:hAnsi="Arial" w:cs="Arial"/>
          <w:sz w:val="22"/>
          <w:szCs w:val="22"/>
          <w:u w:val="single"/>
        </w:rPr>
        <w:t>reverse phenomenon</w:t>
      </w:r>
      <w:r>
        <w:rPr>
          <w:rFonts w:ascii="Arial" w:hAnsi="Arial" w:cs="Arial"/>
          <w:sz w:val="22"/>
          <w:szCs w:val="22"/>
        </w:rPr>
        <w:t xml:space="preserve"> that is the posttransplant homing/engraftment of HSPCs. </w:t>
      </w:r>
      <w:r w:rsidRPr="0070518F">
        <w:rPr>
          <w:rFonts w:ascii="Arial" w:hAnsi="Arial" w:cs="Arial"/>
          <w:sz w:val="22"/>
          <w:szCs w:val="22"/>
        </w:rPr>
        <w:t>It is known that the critical step before infusion of HSPCs is the myeloablative treatment of the recipient</w:t>
      </w:r>
      <w:r>
        <w:rPr>
          <w:rFonts w:ascii="Arial" w:hAnsi="Arial" w:cs="Arial"/>
          <w:sz w:val="22"/>
          <w:szCs w:val="22"/>
        </w:rPr>
        <w:t xml:space="preserve"> aimed </w:t>
      </w:r>
      <w:r w:rsidRPr="0070518F">
        <w:rPr>
          <w:rFonts w:ascii="Arial" w:hAnsi="Arial" w:cs="Arial"/>
          <w:sz w:val="22"/>
          <w:szCs w:val="22"/>
        </w:rPr>
        <w:t xml:space="preserve">to destroy pathological hematopoiesis and empty BM niches to provide space available for new transplanted HSPCs. Myeloablative treatment involves high-dose chemotherapy or myeloablative irradiation. In experimental animal transplant models, lethal irradiation is a standard procedure. The available literature indicates that both irradiation and chemotherapy induce in various organs and tissues </w:t>
      </w:r>
      <w:r>
        <w:rPr>
          <w:rFonts w:ascii="Arial" w:hAnsi="Arial" w:cs="Arial"/>
          <w:sz w:val="22"/>
          <w:szCs w:val="22"/>
        </w:rPr>
        <w:t xml:space="preserve">similarly as during mobilization, </w:t>
      </w:r>
      <w:r w:rsidRPr="0070518F">
        <w:rPr>
          <w:rFonts w:ascii="Arial" w:hAnsi="Arial" w:cs="Arial"/>
          <w:sz w:val="22"/>
          <w:szCs w:val="22"/>
        </w:rPr>
        <w:t>a state of sterile inflammation</w:t>
      </w:r>
      <w:r>
        <w:rPr>
          <w:rFonts w:ascii="Arial" w:hAnsi="Arial" w:cs="Arial"/>
          <w:sz w:val="22"/>
          <w:szCs w:val="22"/>
        </w:rPr>
        <w:t xml:space="preserve"> and extracellular ATP (</w:t>
      </w:r>
      <w:proofErr w:type="spellStart"/>
      <w:r>
        <w:rPr>
          <w:rFonts w:ascii="Arial" w:hAnsi="Arial" w:cs="Arial"/>
          <w:sz w:val="22"/>
          <w:szCs w:val="22"/>
        </w:rPr>
        <w:t>eATP</w:t>
      </w:r>
      <w:proofErr w:type="spellEnd"/>
      <w:r>
        <w:rPr>
          <w:rFonts w:ascii="Arial" w:hAnsi="Arial" w:cs="Arial"/>
          <w:sz w:val="22"/>
          <w:szCs w:val="22"/>
        </w:rPr>
        <w:t>) released from damaged cells triggers this process</w:t>
      </w:r>
      <w:r w:rsidRPr="0070518F">
        <w:rPr>
          <w:rFonts w:ascii="Arial" w:hAnsi="Arial" w:cs="Arial"/>
          <w:sz w:val="22"/>
          <w:szCs w:val="22"/>
        </w:rPr>
        <w:t xml:space="preserve">. We postulate that the same occurs in the BM microenvironment, and in fact, our preliminary data shows that </w:t>
      </w:r>
      <w:proofErr w:type="spellStart"/>
      <w:r w:rsidRPr="0070518F">
        <w:rPr>
          <w:rFonts w:ascii="Arial" w:hAnsi="Arial" w:cs="Arial"/>
          <w:b/>
          <w:bCs/>
          <w:sz w:val="22"/>
          <w:szCs w:val="22"/>
        </w:rPr>
        <w:t>ComC</w:t>
      </w:r>
      <w:proofErr w:type="spellEnd"/>
      <w:r>
        <w:rPr>
          <w:rFonts w:ascii="Arial" w:hAnsi="Arial" w:cs="Arial"/>
          <w:sz w:val="22"/>
          <w:szCs w:val="22"/>
        </w:rPr>
        <w:t xml:space="preserve"> </w:t>
      </w:r>
      <w:r w:rsidRPr="0070518F">
        <w:rPr>
          <w:rFonts w:ascii="Arial" w:hAnsi="Arial" w:cs="Arial"/>
          <w:sz w:val="22"/>
          <w:szCs w:val="22"/>
        </w:rPr>
        <w:t xml:space="preserve">becomes activated in mice after </w:t>
      </w:r>
      <w:r w:rsidRPr="0070518F">
        <w:rPr>
          <w:rFonts w:ascii="Arial" w:hAnsi="Arial" w:cs="Arial"/>
          <w:sz w:val="22"/>
          <w:szCs w:val="22"/>
        </w:rPr>
        <w:lastRenderedPageBreak/>
        <w:t xml:space="preserve">myeloablative conditioning for transplantation by lethal </w:t>
      </w:r>
      <w:r w:rsidRPr="0070518F">
        <w:rPr>
          <w:rFonts w:ascii="Symbol" w:hAnsi="Symbol" w:cs="Arial"/>
          <w:sz w:val="22"/>
          <w:szCs w:val="22"/>
        </w:rPr>
        <w:t>g</w:t>
      </w:r>
      <w:r w:rsidRPr="0070518F">
        <w:rPr>
          <w:rFonts w:ascii="Arial" w:hAnsi="Arial" w:cs="Arial"/>
          <w:sz w:val="22"/>
          <w:szCs w:val="22"/>
        </w:rPr>
        <w:t>-irradiation or exposure to myeloablative chemotherapy</w:t>
      </w:r>
      <w:r>
        <w:rPr>
          <w:rFonts w:ascii="Arial" w:hAnsi="Arial" w:cs="Arial"/>
          <w:sz w:val="22"/>
          <w:szCs w:val="22"/>
        </w:rPr>
        <w:t xml:space="preserve">. It is known that </w:t>
      </w:r>
      <w:proofErr w:type="spellStart"/>
      <w:r>
        <w:rPr>
          <w:rFonts w:ascii="Arial" w:hAnsi="Arial" w:cs="Arial"/>
          <w:sz w:val="22"/>
          <w:szCs w:val="22"/>
        </w:rPr>
        <w:t>ComC</w:t>
      </w:r>
      <w:proofErr w:type="spellEnd"/>
      <w:r>
        <w:rPr>
          <w:rFonts w:ascii="Arial" w:hAnsi="Arial" w:cs="Arial"/>
          <w:sz w:val="22"/>
          <w:szCs w:val="22"/>
        </w:rPr>
        <w:t xml:space="preserve"> could be activated by </w:t>
      </w:r>
      <w:r w:rsidRPr="000B3001">
        <w:rPr>
          <w:rFonts w:ascii="Arial" w:hAnsi="Arial" w:cs="Arial"/>
          <w:i/>
          <w:iCs/>
          <w:sz w:val="22"/>
          <w:szCs w:val="22"/>
        </w:rPr>
        <w:t>i)</w:t>
      </w:r>
      <w:r>
        <w:rPr>
          <w:rFonts w:ascii="Arial" w:hAnsi="Arial" w:cs="Arial"/>
          <w:sz w:val="22"/>
          <w:szCs w:val="22"/>
        </w:rPr>
        <w:t xml:space="preserve"> </w:t>
      </w:r>
      <w:r w:rsidRPr="0070518F">
        <w:rPr>
          <w:rFonts w:ascii="Arial" w:hAnsi="Arial" w:cs="Arial"/>
          <w:sz w:val="22"/>
          <w:szCs w:val="22"/>
        </w:rPr>
        <w:t xml:space="preserve">classical-, </w:t>
      </w:r>
      <w:r>
        <w:rPr>
          <w:rFonts w:ascii="Arial" w:hAnsi="Arial" w:cs="Arial"/>
          <w:sz w:val="22"/>
          <w:szCs w:val="22"/>
        </w:rPr>
        <w:t xml:space="preserve">ii) </w:t>
      </w:r>
      <w:r w:rsidRPr="0070518F">
        <w:rPr>
          <w:rFonts w:ascii="Arial" w:hAnsi="Arial" w:cs="Arial"/>
          <w:sz w:val="22"/>
          <w:szCs w:val="22"/>
        </w:rPr>
        <w:t>mannan-binding lectin</w:t>
      </w:r>
      <w:r>
        <w:rPr>
          <w:rFonts w:ascii="Arial" w:hAnsi="Arial" w:cs="Arial"/>
          <w:sz w:val="22"/>
          <w:szCs w:val="22"/>
        </w:rPr>
        <w:t>, or</w:t>
      </w:r>
      <w:r w:rsidRPr="0070518F">
        <w:rPr>
          <w:rFonts w:ascii="Arial" w:hAnsi="Arial" w:cs="Arial"/>
          <w:sz w:val="22"/>
          <w:szCs w:val="22"/>
        </w:rPr>
        <w:t xml:space="preserve"> </w:t>
      </w:r>
      <w:r w:rsidRPr="000B3001">
        <w:rPr>
          <w:rFonts w:ascii="Arial" w:hAnsi="Arial" w:cs="Arial"/>
          <w:i/>
          <w:iCs/>
          <w:sz w:val="22"/>
          <w:szCs w:val="22"/>
        </w:rPr>
        <w:t>iii)</w:t>
      </w:r>
      <w:r>
        <w:rPr>
          <w:rFonts w:ascii="Arial" w:hAnsi="Arial" w:cs="Arial"/>
          <w:sz w:val="22"/>
          <w:szCs w:val="22"/>
        </w:rPr>
        <w:t xml:space="preserve"> </w:t>
      </w:r>
      <w:r w:rsidRPr="0070518F">
        <w:rPr>
          <w:rFonts w:ascii="Arial" w:hAnsi="Arial" w:cs="Arial"/>
          <w:sz w:val="22"/>
          <w:szCs w:val="22"/>
        </w:rPr>
        <w:t xml:space="preserve">alternative-pathway. </w:t>
      </w:r>
    </w:p>
    <w:p w14:paraId="0DBD360D" w14:textId="77777777" w:rsidR="00EA0AE2" w:rsidRPr="0070518F" w:rsidRDefault="00EA0AE2" w:rsidP="00EA0AE2">
      <w:pPr>
        <w:spacing w:line="120" w:lineRule="auto"/>
        <w:jc w:val="both"/>
        <w:rPr>
          <w:rFonts w:ascii="Arial" w:hAnsi="Arial" w:cs="Arial"/>
          <w:sz w:val="22"/>
          <w:szCs w:val="22"/>
        </w:rPr>
      </w:pPr>
    </w:p>
    <w:p w14:paraId="2ECF4F70" w14:textId="75CECECD" w:rsidR="00EA0AE2" w:rsidRDefault="00EA0AE2" w:rsidP="00EA0AE2">
      <w:pPr>
        <w:jc w:val="both"/>
        <w:rPr>
          <w:rFonts w:ascii="Arial" w:hAnsi="Arial" w:cs="Arial"/>
          <w:sz w:val="22"/>
          <w:szCs w:val="22"/>
        </w:rPr>
      </w:pPr>
      <w:r w:rsidRPr="0070518F">
        <w:rPr>
          <w:rFonts w:ascii="Arial" w:hAnsi="Arial" w:cs="Arial"/>
          <w:sz w:val="22"/>
          <w:szCs w:val="22"/>
        </w:rPr>
        <w:t xml:space="preserve">Activation of </w:t>
      </w:r>
      <w:proofErr w:type="spellStart"/>
      <w:r w:rsidRPr="0070518F">
        <w:rPr>
          <w:rFonts w:ascii="Arial" w:hAnsi="Arial" w:cs="Arial"/>
          <w:sz w:val="22"/>
          <w:szCs w:val="22"/>
        </w:rPr>
        <w:t>ComC</w:t>
      </w:r>
      <w:proofErr w:type="spellEnd"/>
      <w:r w:rsidRPr="0070518F">
        <w:rPr>
          <w:rFonts w:ascii="Arial" w:hAnsi="Arial" w:cs="Arial"/>
          <w:sz w:val="22"/>
          <w:szCs w:val="22"/>
        </w:rPr>
        <w:t xml:space="preserve"> leads to the release </w:t>
      </w:r>
      <w:r>
        <w:rPr>
          <w:rFonts w:ascii="Arial" w:hAnsi="Arial" w:cs="Arial"/>
          <w:sz w:val="22"/>
          <w:szCs w:val="22"/>
        </w:rPr>
        <w:t xml:space="preserve">of </w:t>
      </w:r>
      <w:r w:rsidRPr="0070518F">
        <w:rPr>
          <w:rFonts w:ascii="Arial" w:hAnsi="Arial" w:cs="Arial"/>
          <w:sz w:val="22"/>
          <w:szCs w:val="22"/>
        </w:rPr>
        <w:t xml:space="preserve">C3 and C5 complement components </w:t>
      </w:r>
      <w:r>
        <w:rPr>
          <w:rFonts w:ascii="Arial" w:hAnsi="Arial" w:cs="Arial"/>
          <w:sz w:val="22"/>
          <w:szCs w:val="22"/>
        </w:rPr>
        <w:t xml:space="preserve">cleavage </w:t>
      </w:r>
      <w:r w:rsidRPr="0070518F">
        <w:rPr>
          <w:rFonts w:ascii="Arial" w:hAnsi="Arial" w:cs="Arial"/>
          <w:sz w:val="22"/>
          <w:szCs w:val="22"/>
        </w:rPr>
        <w:t xml:space="preserve">fragments - C3a and C5a anaphylatoxins that are processed by serum carboxypeptidase to </w:t>
      </w:r>
      <w:r w:rsidRPr="0070518F">
        <w:rPr>
          <w:rFonts w:ascii="Arial" w:hAnsi="Arial" w:cs="Arial"/>
          <w:sz w:val="22"/>
          <w:szCs w:val="22"/>
          <w:vertAlign w:val="subscript"/>
        </w:rPr>
        <w:t>desArg</w:t>
      </w:r>
      <w:r w:rsidRPr="0070518F">
        <w:rPr>
          <w:rFonts w:ascii="Arial" w:hAnsi="Arial" w:cs="Arial"/>
          <w:sz w:val="22"/>
          <w:szCs w:val="22"/>
        </w:rPr>
        <w:t xml:space="preserve">C3a and </w:t>
      </w:r>
      <w:r w:rsidRPr="0070518F">
        <w:rPr>
          <w:rFonts w:ascii="Arial" w:hAnsi="Arial" w:cs="Arial"/>
          <w:sz w:val="22"/>
          <w:szCs w:val="22"/>
          <w:vertAlign w:val="subscript"/>
        </w:rPr>
        <w:t>desArg</w:t>
      </w:r>
      <w:r w:rsidRPr="0070518F">
        <w:rPr>
          <w:rFonts w:ascii="Arial" w:hAnsi="Arial" w:cs="Arial"/>
          <w:sz w:val="22"/>
          <w:szCs w:val="22"/>
        </w:rPr>
        <w:t>C5a as well as leads to the formation of C5b-C9 or non</w:t>
      </w:r>
      <w:r>
        <w:rPr>
          <w:rFonts w:ascii="Arial" w:hAnsi="Arial" w:cs="Arial"/>
          <w:sz w:val="22"/>
          <w:szCs w:val="22"/>
        </w:rPr>
        <w:t>-</w:t>
      </w:r>
      <w:r w:rsidRPr="0070518F">
        <w:rPr>
          <w:rFonts w:ascii="Arial" w:hAnsi="Arial" w:cs="Arial"/>
          <w:sz w:val="22"/>
          <w:szCs w:val="22"/>
        </w:rPr>
        <w:t xml:space="preserve">lytic </w:t>
      </w:r>
      <w:r>
        <w:rPr>
          <w:rFonts w:ascii="Arial" w:hAnsi="Arial" w:cs="Arial"/>
          <w:sz w:val="22"/>
          <w:szCs w:val="22"/>
        </w:rPr>
        <w:t xml:space="preserve">or lytic </w:t>
      </w:r>
      <w:r w:rsidRPr="0070518F">
        <w:rPr>
          <w:rFonts w:ascii="Arial" w:hAnsi="Arial" w:cs="Arial"/>
          <w:sz w:val="22"/>
          <w:szCs w:val="22"/>
        </w:rPr>
        <w:t xml:space="preserve">membrane attack complex (MAC), which is the terminal product of </w:t>
      </w:r>
      <w:proofErr w:type="spellStart"/>
      <w:r w:rsidRPr="0070518F">
        <w:rPr>
          <w:rFonts w:ascii="Arial" w:hAnsi="Arial" w:cs="Arial"/>
          <w:sz w:val="22"/>
          <w:szCs w:val="22"/>
        </w:rPr>
        <w:t>ComC</w:t>
      </w:r>
      <w:proofErr w:type="spellEnd"/>
      <w:r w:rsidRPr="0070518F">
        <w:rPr>
          <w:rFonts w:ascii="Arial" w:hAnsi="Arial" w:cs="Arial"/>
          <w:sz w:val="22"/>
          <w:szCs w:val="22"/>
        </w:rPr>
        <w:t xml:space="preserve"> activation. On the other hand, </w:t>
      </w:r>
      <w:r>
        <w:rPr>
          <w:rFonts w:ascii="Arial" w:hAnsi="Arial" w:cs="Arial"/>
          <w:sz w:val="22"/>
          <w:szCs w:val="22"/>
        </w:rPr>
        <w:t xml:space="preserve">both </w:t>
      </w:r>
      <w:r w:rsidRPr="0070518F">
        <w:rPr>
          <w:rFonts w:ascii="Arial" w:hAnsi="Arial" w:cs="Arial"/>
          <w:sz w:val="22"/>
          <w:szCs w:val="22"/>
        </w:rPr>
        <w:t xml:space="preserve">HSPCs </w:t>
      </w:r>
      <w:r>
        <w:rPr>
          <w:rFonts w:ascii="Arial" w:hAnsi="Arial" w:cs="Arial"/>
          <w:sz w:val="22"/>
          <w:szCs w:val="22"/>
        </w:rPr>
        <w:t xml:space="preserve">and cells in BM microenvironment </w:t>
      </w:r>
      <w:r w:rsidRPr="0070518F">
        <w:rPr>
          <w:rFonts w:ascii="Arial" w:hAnsi="Arial" w:cs="Arial"/>
          <w:sz w:val="22"/>
          <w:szCs w:val="22"/>
        </w:rPr>
        <w:t xml:space="preserve">express receptors for C3a and C5a (C3aR, C5aR1, and C5aR2). After myeloablative therapy, active </w:t>
      </w:r>
      <w:proofErr w:type="spellStart"/>
      <w:r w:rsidRPr="0070518F">
        <w:rPr>
          <w:rFonts w:ascii="Arial" w:hAnsi="Arial" w:cs="Arial"/>
          <w:sz w:val="22"/>
          <w:szCs w:val="22"/>
        </w:rPr>
        <w:t>ComC</w:t>
      </w:r>
      <w:proofErr w:type="spellEnd"/>
      <w:r w:rsidRPr="0070518F">
        <w:rPr>
          <w:rFonts w:ascii="Arial" w:hAnsi="Arial" w:cs="Arial"/>
          <w:sz w:val="22"/>
          <w:szCs w:val="22"/>
        </w:rPr>
        <w:t xml:space="preserve"> cleavage fragments circulate in PB. Therefore, HSPCs infused into the transplant </w:t>
      </w:r>
      <w:r>
        <w:rPr>
          <w:rFonts w:ascii="Arial" w:hAnsi="Arial" w:cs="Arial"/>
          <w:sz w:val="22"/>
          <w:szCs w:val="22"/>
        </w:rPr>
        <w:t>recipient's</w:t>
      </w:r>
      <w:r w:rsidRPr="0070518F">
        <w:rPr>
          <w:rFonts w:ascii="Arial" w:hAnsi="Arial" w:cs="Arial"/>
          <w:sz w:val="22"/>
          <w:szCs w:val="22"/>
        </w:rPr>
        <w:t xml:space="preserve"> bloodstream are exposed to these potent innate immunity mediators. This interaction of HSPCs with </w:t>
      </w:r>
      <w:proofErr w:type="spellStart"/>
      <w:r w:rsidRPr="0070518F">
        <w:rPr>
          <w:rFonts w:ascii="Arial" w:hAnsi="Arial" w:cs="Arial"/>
          <w:sz w:val="22"/>
          <w:szCs w:val="22"/>
        </w:rPr>
        <w:t>ComC</w:t>
      </w:r>
      <w:proofErr w:type="spellEnd"/>
      <w:r w:rsidRPr="0070518F">
        <w:rPr>
          <w:rFonts w:ascii="Arial" w:hAnsi="Arial" w:cs="Arial"/>
          <w:sz w:val="22"/>
          <w:szCs w:val="22"/>
        </w:rPr>
        <w:t xml:space="preserve"> meditators, as we propose, promotes </w:t>
      </w:r>
      <w:r>
        <w:rPr>
          <w:rFonts w:ascii="Arial" w:hAnsi="Arial" w:cs="Arial"/>
          <w:sz w:val="22"/>
          <w:szCs w:val="22"/>
        </w:rPr>
        <w:t xml:space="preserve">better </w:t>
      </w:r>
      <w:r w:rsidRPr="0070518F">
        <w:rPr>
          <w:rFonts w:ascii="Arial" w:hAnsi="Arial" w:cs="Arial"/>
          <w:sz w:val="22"/>
          <w:szCs w:val="22"/>
        </w:rPr>
        <w:t>navigation of infused cells to the recipient BM niches</w:t>
      </w:r>
      <w:r>
        <w:rPr>
          <w:rFonts w:ascii="Arial" w:hAnsi="Arial" w:cs="Arial"/>
          <w:sz w:val="22"/>
          <w:szCs w:val="22"/>
        </w:rPr>
        <w:t>, and we hypothesize it is a result of the promotion of MLRs formation on HSPCs</w:t>
      </w:r>
      <w:r w:rsidRPr="0070518F">
        <w:rPr>
          <w:rFonts w:ascii="Arial" w:hAnsi="Arial" w:cs="Arial"/>
          <w:sz w:val="22"/>
          <w:szCs w:val="22"/>
        </w:rPr>
        <w:t xml:space="preserve">. On the other hand, myeloablative conditioning for transplantation induces a state of sterile inflammation in transplant recipient BM </w:t>
      </w:r>
      <w:r>
        <w:rPr>
          <w:rFonts w:ascii="Arial" w:hAnsi="Arial" w:cs="Arial"/>
          <w:sz w:val="22"/>
          <w:szCs w:val="22"/>
        </w:rPr>
        <w:t xml:space="preserve">to </w:t>
      </w:r>
      <w:r w:rsidRPr="0070518F">
        <w:rPr>
          <w:rFonts w:ascii="Arial" w:hAnsi="Arial" w:cs="Arial"/>
          <w:sz w:val="22"/>
          <w:szCs w:val="22"/>
        </w:rPr>
        <w:t>facilitate homing and engraftment of circulating in PB transplanted HSPCs</w:t>
      </w:r>
      <w:r>
        <w:rPr>
          <w:rFonts w:ascii="Arial" w:hAnsi="Arial" w:cs="Arial"/>
          <w:sz w:val="22"/>
          <w:szCs w:val="22"/>
        </w:rPr>
        <w:t>.</w:t>
      </w:r>
      <w:r w:rsidRPr="0070518F">
        <w:rPr>
          <w:rFonts w:ascii="Arial" w:hAnsi="Arial" w:cs="Arial"/>
          <w:sz w:val="22"/>
          <w:szCs w:val="22"/>
        </w:rPr>
        <w:t xml:space="preserve"> </w:t>
      </w:r>
      <w:r>
        <w:rPr>
          <w:rFonts w:ascii="Arial" w:hAnsi="Arial" w:cs="Arial"/>
          <w:sz w:val="22"/>
          <w:szCs w:val="22"/>
        </w:rPr>
        <w:t xml:space="preserve">Finally, new intriguing evidence accumulated that, in addition to the liver </w:t>
      </w:r>
      <w:proofErr w:type="spellStart"/>
      <w:r>
        <w:rPr>
          <w:rFonts w:ascii="Arial" w:hAnsi="Arial" w:cs="Arial"/>
          <w:sz w:val="22"/>
          <w:szCs w:val="22"/>
        </w:rPr>
        <w:t>ComC</w:t>
      </w:r>
      <w:proofErr w:type="spellEnd"/>
      <w:r>
        <w:rPr>
          <w:rFonts w:ascii="Arial" w:hAnsi="Arial" w:cs="Arial"/>
          <w:sz w:val="22"/>
          <w:szCs w:val="22"/>
        </w:rPr>
        <w:t xml:space="preserve"> synthesis also occurs inside some cells – e.g., in lymphocytes. Our recent data indicate </w:t>
      </w:r>
      <w:r w:rsidRPr="00312321">
        <w:rPr>
          <w:rFonts w:ascii="Arial" w:hAnsi="Arial" w:cs="Arial"/>
          <w:sz w:val="22"/>
          <w:szCs w:val="22"/>
          <w:u w:val="single"/>
        </w:rPr>
        <w:t xml:space="preserve">that the same phenomenon occurs in </w:t>
      </w:r>
      <w:r w:rsidRPr="00402691">
        <w:rPr>
          <w:rFonts w:ascii="Arial" w:hAnsi="Arial" w:cs="Arial"/>
          <w:sz w:val="22"/>
          <w:szCs w:val="22"/>
          <w:u w:val="single"/>
        </w:rPr>
        <w:t>HSPCs</w:t>
      </w:r>
      <w:r w:rsidRPr="00402691">
        <w:rPr>
          <w:rFonts w:ascii="Arial" w:hAnsi="Arial" w:cs="Arial"/>
          <w:sz w:val="22"/>
          <w:szCs w:val="22"/>
        </w:rPr>
        <w:t>.</w:t>
      </w:r>
      <w:r>
        <w:rPr>
          <w:rFonts w:ascii="Arial" w:hAnsi="Arial" w:cs="Arial"/>
          <w:sz w:val="22"/>
          <w:szCs w:val="22"/>
        </w:rPr>
        <w:t xml:space="preserve"> Therefore, the intercellular expression of </w:t>
      </w:r>
      <w:proofErr w:type="spellStart"/>
      <w:r>
        <w:rPr>
          <w:rFonts w:ascii="Arial" w:hAnsi="Arial" w:cs="Arial"/>
          <w:sz w:val="22"/>
          <w:szCs w:val="22"/>
        </w:rPr>
        <w:t>ComC</w:t>
      </w:r>
      <w:proofErr w:type="spellEnd"/>
      <w:r>
        <w:rPr>
          <w:rFonts w:ascii="Arial" w:hAnsi="Arial" w:cs="Arial"/>
          <w:sz w:val="22"/>
          <w:szCs w:val="22"/>
        </w:rPr>
        <w:t xml:space="preserve"> elements known as </w:t>
      </w:r>
      <w:proofErr w:type="spellStart"/>
      <w:r w:rsidRPr="00897B27">
        <w:rPr>
          <w:rFonts w:ascii="Arial" w:hAnsi="Arial" w:cs="Arial"/>
          <w:b/>
          <w:bCs/>
          <w:sz w:val="22"/>
          <w:szCs w:val="22"/>
        </w:rPr>
        <w:t>complosome</w:t>
      </w:r>
      <w:proofErr w:type="spellEnd"/>
      <w:r>
        <w:rPr>
          <w:rFonts w:ascii="Arial" w:hAnsi="Arial" w:cs="Arial"/>
          <w:sz w:val="22"/>
          <w:szCs w:val="22"/>
        </w:rPr>
        <w:t xml:space="preserve"> sheds a new light on the underappreciated role of innate immunity in regulating hematopoiesis. </w:t>
      </w:r>
      <w:r w:rsidRPr="0070518F">
        <w:rPr>
          <w:rFonts w:ascii="Arial" w:hAnsi="Arial" w:cs="Arial"/>
          <w:sz w:val="22"/>
          <w:szCs w:val="22"/>
        </w:rPr>
        <w:t xml:space="preserve">Based on this, to </w:t>
      </w:r>
      <w:r>
        <w:rPr>
          <w:rFonts w:ascii="Arial" w:hAnsi="Arial" w:cs="Arial"/>
          <w:sz w:val="22"/>
          <w:szCs w:val="22"/>
        </w:rPr>
        <w:t>study</w:t>
      </w:r>
      <w:r w:rsidRPr="0070518F">
        <w:rPr>
          <w:rFonts w:ascii="Arial" w:hAnsi="Arial" w:cs="Arial"/>
          <w:sz w:val="22"/>
          <w:szCs w:val="22"/>
        </w:rPr>
        <w:t xml:space="preserve"> the role of </w:t>
      </w:r>
      <w:r>
        <w:rPr>
          <w:rFonts w:ascii="Arial" w:hAnsi="Arial" w:cs="Arial"/>
          <w:sz w:val="22"/>
          <w:szCs w:val="22"/>
        </w:rPr>
        <w:t xml:space="preserve">liver- and HSPCs-derived </w:t>
      </w:r>
      <w:proofErr w:type="spellStart"/>
      <w:r w:rsidRPr="0070518F">
        <w:rPr>
          <w:rFonts w:ascii="Arial" w:hAnsi="Arial" w:cs="Arial"/>
          <w:sz w:val="22"/>
          <w:szCs w:val="22"/>
        </w:rPr>
        <w:t>ComC</w:t>
      </w:r>
      <w:proofErr w:type="spellEnd"/>
      <w:r w:rsidRPr="0070518F">
        <w:rPr>
          <w:rFonts w:ascii="Arial" w:hAnsi="Arial" w:cs="Arial"/>
          <w:sz w:val="22"/>
          <w:szCs w:val="22"/>
        </w:rPr>
        <w:t xml:space="preserve"> in homing</w:t>
      </w:r>
      <w:r>
        <w:rPr>
          <w:rFonts w:ascii="Arial" w:hAnsi="Arial" w:cs="Arial"/>
          <w:sz w:val="22"/>
          <w:szCs w:val="22"/>
        </w:rPr>
        <w:t xml:space="preserve">, engraftment, and post-transplant expansion </w:t>
      </w:r>
      <w:r w:rsidRPr="0070518F">
        <w:rPr>
          <w:rFonts w:ascii="Arial" w:hAnsi="Arial" w:cs="Arial"/>
          <w:sz w:val="22"/>
          <w:szCs w:val="22"/>
        </w:rPr>
        <w:t xml:space="preserve">of HSPCs, and design optimal </w:t>
      </w:r>
      <w:r>
        <w:rPr>
          <w:rFonts w:ascii="Arial" w:hAnsi="Arial" w:cs="Arial"/>
          <w:sz w:val="22"/>
          <w:szCs w:val="22"/>
        </w:rPr>
        <w:t xml:space="preserve">hematopoietic transplantation </w:t>
      </w:r>
      <w:r w:rsidRPr="0070518F">
        <w:rPr>
          <w:rFonts w:ascii="Arial" w:hAnsi="Arial" w:cs="Arial"/>
          <w:sz w:val="22"/>
          <w:szCs w:val="22"/>
        </w:rPr>
        <w:t>protocols, we propose three interrelated aims.</w:t>
      </w:r>
    </w:p>
    <w:p w14:paraId="622756CC" w14:textId="77777777" w:rsidR="00EA0AE2" w:rsidRDefault="00EA0AE2" w:rsidP="00EA0AE2">
      <w:pPr>
        <w:jc w:val="both"/>
        <w:rPr>
          <w:rFonts w:ascii="Arial" w:hAnsi="Arial" w:cs="Arial"/>
          <w:i/>
          <w:iCs/>
          <w:sz w:val="22"/>
          <w:szCs w:val="22"/>
        </w:rPr>
      </w:pPr>
      <w:r w:rsidRPr="00852761">
        <w:rPr>
          <w:rFonts w:ascii="Arial" w:hAnsi="Arial" w:cs="Arial"/>
          <w:b/>
          <w:bCs/>
          <w:i/>
          <w:iCs/>
          <w:sz w:val="22"/>
          <w:szCs w:val="22"/>
        </w:rPr>
        <w:t>Specific Aim 1</w:t>
      </w:r>
      <w:r w:rsidRPr="00AF104F">
        <w:rPr>
          <w:rFonts w:ascii="Arial" w:hAnsi="Arial" w:cs="Arial"/>
          <w:i/>
          <w:iCs/>
          <w:sz w:val="22"/>
          <w:szCs w:val="22"/>
        </w:rPr>
        <w:t xml:space="preserve">.  </w:t>
      </w:r>
      <w:r>
        <w:rPr>
          <w:rFonts w:ascii="Arial" w:hAnsi="Arial" w:cs="Arial"/>
          <w:i/>
          <w:iCs/>
          <w:sz w:val="22"/>
          <w:szCs w:val="22"/>
        </w:rPr>
        <w:t>To learn which</w:t>
      </w:r>
      <w:r w:rsidRPr="00AF104F">
        <w:rPr>
          <w:rFonts w:ascii="Arial" w:hAnsi="Arial" w:cs="Arial"/>
          <w:i/>
          <w:iCs/>
          <w:sz w:val="22"/>
          <w:szCs w:val="22"/>
        </w:rPr>
        <w:t xml:space="preserve"> </w:t>
      </w:r>
      <w:r w:rsidRPr="0070518F">
        <w:rPr>
          <w:rFonts w:ascii="Arial" w:hAnsi="Arial" w:cs="Arial"/>
          <w:i/>
          <w:iCs/>
          <w:sz w:val="22"/>
          <w:szCs w:val="22"/>
        </w:rPr>
        <w:t xml:space="preserve">of </w:t>
      </w:r>
      <w:r>
        <w:rPr>
          <w:rFonts w:ascii="Arial" w:hAnsi="Arial" w:cs="Arial"/>
          <w:i/>
          <w:iCs/>
          <w:sz w:val="22"/>
          <w:szCs w:val="22"/>
        </w:rPr>
        <w:t xml:space="preserve">the </w:t>
      </w:r>
      <w:proofErr w:type="spellStart"/>
      <w:r w:rsidRPr="0070518F">
        <w:rPr>
          <w:rFonts w:ascii="Arial" w:hAnsi="Arial" w:cs="Arial"/>
          <w:i/>
          <w:iCs/>
          <w:sz w:val="22"/>
          <w:szCs w:val="22"/>
        </w:rPr>
        <w:t>ComC</w:t>
      </w:r>
      <w:proofErr w:type="spellEnd"/>
      <w:r w:rsidRPr="0070518F">
        <w:rPr>
          <w:rFonts w:ascii="Arial" w:hAnsi="Arial" w:cs="Arial"/>
          <w:i/>
          <w:iCs/>
          <w:sz w:val="22"/>
          <w:szCs w:val="22"/>
        </w:rPr>
        <w:t xml:space="preserve"> activation pathways (classical, mannan-binding lectin, and/or alternative) is </w:t>
      </w:r>
      <w:r>
        <w:rPr>
          <w:rFonts w:ascii="Arial" w:hAnsi="Arial" w:cs="Arial"/>
          <w:i/>
          <w:iCs/>
          <w:sz w:val="22"/>
          <w:szCs w:val="22"/>
        </w:rPr>
        <w:t>crucial</w:t>
      </w:r>
      <w:r w:rsidRPr="0070518F">
        <w:rPr>
          <w:rFonts w:ascii="Arial" w:hAnsi="Arial" w:cs="Arial"/>
          <w:i/>
          <w:iCs/>
          <w:sz w:val="22"/>
          <w:szCs w:val="22"/>
        </w:rPr>
        <w:t xml:space="preserve"> in response to </w:t>
      </w:r>
      <w:r>
        <w:rPr>
          <w:rFonts w:ascii="Arial" w:hAnsi="Arial" w:cs="Arial"/>
          <w:i/>
          <w:iCs/>
          <w:sz w:val="22"/>
          <w:szCs w:val="22"/>
        </w:rPr>
        <w:t xml:space="preserve">radio- chemotherapy-mediated </w:t>
      </w:r>
      <w:r w:rsidRPr="0070518F">
        <w:rPr>
          <w:rFonts w:ascii="Arial" w:hAnsi="Arial" w:cs="Arial"/>
          <w:i/>
          <w:iCs/>
          <w:sz w:val="22"/>
          <w:szCs w:val="22"/>
        </w:rPr>
        <w:t xml:space="preserve">myeloablative conditioning for transplantation </w:t>
      </w:r>
      <w:r>
        <w:rPr>
          <w:rFonts w:ascii="Arial" w:hAnsi="Arial" w:cs="Arial"/>
          <w:i/>
          <w:iCs/>
          <w:sz w:val="22"/>
          <w:szCs w:val="22"/>
        </w:rPr>
        <w:t>to promote</w:t>
      </w:r>
      <w:r w:rsidRPr="0070518F">
        <w:rPr>
          <w:rFonts w:ascii="Arial" w:hAnsi="Arial" w:cs="Arial"/>
          <w:i/>
          <w:iCs/>
          <w:sz w:val="22"/>
          <w:szCs w:val="22"/>
        </w:rPr>
        <w:t xml:space="preserve"> homing and engraftment of HSPCs?  </w:t>
      </w:r>
    </w:p>
    <w:p w14:paraId="1A39CB85" w14:textId="77777777" w:rsidR="00EA0AE2" w:rsidRDefault="00EA0AE2" w:rsidP="00EA0AE2">
      <w:pPr>
        <w:jc w:val="both"/>
        <w:rPr>
          <w:rFonts w:ascii="Arial" w:hAnsi="Arial" w:cs="Arial"/>
          <w:i/>
          <w:iCs/>
          <w:sz w:val="22"/>
          <w:szCs w:val="22"/>
        </w:rPr>
      </w:pPr>
      <w:r w:rsidRPr="009528D7">
        <w:rPr>
          <w:rFonts w:ascii="Arial" w:hAnsi="Arial" w:cs="Arial"/>
          <w:b/>
          <w:bCs/>
          <w:i/>
          <w:iCs/>
          <w:color w:val="000000" w:themeColor="text1"/>
          <w:sz w:val="22"/>
          <w:szCs w:val="22"/>
        </w:rPr>
        <w:t xml:space="preserve">Specific Aim 2. </w:t>
      </w:r>
      <w:r w:rsidRPr="009528D7">
        <w:rPr>
          <w:rFonts w:ascii="Arial" w:hAnsi="Arial" w:cs="Arial"/>
          <w:color w:val="000000" w:themeColor="text1"/>
          <w:sz w:val="22"/>
          <w:szCs w:val="22"/>
        </w:rPr>
        <w:t xml:space="preserve"> </w:t>
      </w:r>
      <w:r w:rsidRPr="0070518F">
        <w:rPr>
          <w:rFonts w:ascii="Arial" w:hAnsi="Arial" w:cs="Arial"/>
          <w:i/>
          <w:iCs/>
          <w:sz w:val="22"/>
          <w:szCs w:val="22"/>
        </w:rPr>
        <w:t xml:space="preserve">Effect of </w:t>
      </w:r>
      <w:proofErr w:type="spellStart"/>
      <w:r w:rsidRPr="0070518F">
        <w:rPr>
          <w:rFonts w:ascii="Arial" w:hAnsi="Arial" w:cs="Arial"/>
          <w:i/>
          <w:iCs/>
          <w:sz w:val="22"/>
          <w:szCs w:val="22"/>
        </w:rPr>
        <w:t>ComC</w:t>
      </w:r>
      <w:proofErr w:type="spellEnd"/>
      <w:r w:rsidRPr="0070518F">
        <w:rPr>
          <w:rFonts w:ascii="Arial" w:hAnsi="Arial" w:cs="Arial"/>
          <w:i/>
          <w:iCs/>
          <w:sz w:val="22"/>
          <w:szCs w:val="22"/>
        </w:rPr>
        <w:t xml:space="preserve"> cleavage fragments on infused HSPCs “navigating” to recipient BM. We will focus on the role of </w:t>
      </w:r>
      <w:proofErr w:type="spellStart"/>
      <w:r w:rsidRPr="0070518F">
        <w:rPr>
          <w:rFonts w:ascii="Arial" w:hAnsi="Arial" w:cs="Arial"/>
          <w:i/>
          <w:iCs/>
          <w:sz w:val="22"/>
          <w:szCs w:val="22"/>
        </w:rPr>
        <w:t>ComC</w:t>
      </w:r>
      <w:proofErr w:type="spellEnd"/>
      <w:r w:rsidRPr="0070518F">
        <w:rPr>
          <w:rFonts w:ascii="Arial" w:hAnsi="Arial" w:cs="Arial"/>
          <w:i/>
          <w:iCs/>
          <w:sz w:val="22"/>
          <w:szCs w:val="22"/>
        </w:rPr>
        <w:t xml:space="preserve"> cleavage fragments </w:t>
      </w:r>
      <w:r>
        <w:rPr>
          <w:rFonts w:ascii="Arial" w:hAnsi="Arial" w:cs="Arial"/>
          <w:i/>
          <w:iCs/>
          <w:sz w:val="22"/>
          <w:szCs w:val="22"/>
        </w:rPr>
        <w:t>in</w:t>
      </w:r>
      <w:r w:rsidRPr="0070518F">
        <w:rPr>
          <w:rFonts w:ascii="Arial" w:hAnsi="Arial" w:cs="Arial"/>
          <w:i/>
          <w:iCs/>
          <w:sz w:val="22"/>
          <w:szCs w:val="22"/>
        </w:rPr>
        <w:t xml:space="preserve"> promoting responsiveness of HSPCs to BM homing factors, after infusion into PB of </w:t>
      </w:r>
      <w:r>
        <w:rPr>
          <w:rFonts w:ascii="Arial" w:hAnsi="Arial" w:cs="Arial"/>
          <w:i/>
          <w:iCs/>
          <w:sz w:val="22"/>
          <w:szCs w:val="22"/>
        </w:rPr>
        <w:t xml:space="preserve">a </w:t>
      </w:r>
      <w:r w:rsidRPr="0070518F">
        <w:rPr>
          <w:rFonts w:ascii="Arial" w:hAnsi="Arial" w:cs="Arial"/>
          <w:i/>
          <w:iCs/>
          <w:sz w:val="22"/>
          <w:szCs w:val="22"/>
        </w:rPr>
        <w:t>transplant recipient</w:t>
      </w:r>
      <w:r>
        <w:rPr>
          <w:rFonts w:ascii="Arial" w:hAnsi="Arial" w:cs="Arial"/>
          <w:i/>
          <w:iCs/>
          <w:sz w:val="22"/>
          <w:szCs w:val="22"/>
        </w:rPr>
        <w:t>.</w:t>
      </w:r>
      <w:r w:rsidRPr="0070518F">
        <w:rPr>
          <w:rFonts w:ascii="Arial" w:hAnsi="Arial" w:cs="Arial"/>
          <w:i/>
          <w:iCs/>
          <w:sz w:val="22"/>
          <w:szCs w:val="22"/>
        </w:rPr>
        <w:t xml:space="preserve"> </w:t>
      </w:r>
    </w:p>
    <w:p w14:paraId="36416703" w14:textId="77777777" w:rsidR="00EA0AE2" w:rsidRDefault="00EA0AE2" w:rsidP="00EA0AE2">
      <w:pPr>
        <w:jc w:val="both"/>
        <w:rPr>
          <w:rFonts w:ascii="Arial" w:hAnsi="Arial" w:cs="Arial"/>
          <w:i/>
          <w:iCs/>
          <w:sz w:val="22"/>
          <w:szCs w:val="22"/>
        </w:rPr>
      </w:pPr>
      <w:r w:rsidRPr="0070518F">
        <w:rPr>
          <w:rFonts w:ascii="Arial" w:hAnsi="Arial" w:cs="Arial"/>
          <w:b/>
          <w:bCs/>
          <w:i/>
          <w:iCs/>
          <w:sz w:val="22"/>
          <w:szCs w:val="22"/>
        </w:rPr>
        <w:t>Specific Aim 3</w:t>
      </w:r>
      <w:r w:rsidRPr="0070518F">
        <w:rPr>
          <w:rFonts w:ascii="Arial" w:hAnsi="Arial" w:cs="Arial"/>
          <w:sz w:val="22"/>
          <w:szCs w:val="22"/>
        </w:rPr>
        <w:t xml:space="preserve">. </w:t>
      </w:r>
      <w:r w:rsidRPr="000B444B">
        <w:rPr>
          <w:rFonts w:ascii="Arial" w:hAnsi="Arial" w:cs="Arial"/>
          <w:b/>
          <w:bCs/>
          <w:i/>
          <w:iCs/>
          <w:sz w:val="22"/>
          <w:szCs w:val="22"/>
        </w:rPr>
        <w:t>Specific Aim 3</w:t>
      </w:r>
      <w:r w:rsidRPr="000B444B">
        <w:rPr>
          <w:rFonts w:ascii="Arial" w:hAnsi="Arial" w:cs="Arial"/>
          <w:i/>
          <w:iCs/>
          <w:sz w:val="22"/>
          <w:szCs w:val="22"/>
        </w:rPr>
        <w:t xml:space="preserve">. To identify </w:t>
      </w:r>
      <w:proofErr w:type="spellStart"/>
      <w:r w:rsidRPr="000B444B">
        <w:rPr>
          <w:rFonts w:ascii="Arial" w:hAnsi="Arial" w:cs="Arial"/>
          <w:i/>
          <w:iCs/>
          <w:sz w:val="22"/>
          <w:szCs w:val="22"/>
        </w:rPr>
        <w:t>ComC</w:t>
      </w:r>
      <w:proofErr w:type="spellEnd"/>
      <w:r w:rsidRPr="000B444B">
        <w:rPr>
          <w:rFonts w:ascii="Arial" w:hAnsi="Arial" w:cs="Arial"/>
          <w:i/>
          <w:iCs/>
          <w:sz w:val="22"/>
          <w:szCs w:val="22"/>
        </w:rPr>
        <w:t xml:space="preserve"> activated </w:t>
      </w:r>
      <w:r>
        <w:rPr>
          <w:rFonts w:ascii="Arial" w:hAnsi="Arial" w:cs="Arial"/>
          <w:i/>
          <w:iCs/>
          <w:sz w:val="22"/>
          <w:szCs w:val="22"/>
        </w:rPr>
        <w:t>events</w:t>
      </w:r>
      <w:r w:rsidRPr="000B444B">
        <w:rPr>
          <w:rFonts w:ascii="Arial" w:hAnsi="Arial" w:cs="Arial"/>
          <w:i/>
          <w:iCs/>
          <w:sz w:val="22"/>
          <w:szCs w:val="22"/>
        </w:rPr>
        <w:t xml:space="preserve"> in BM microenvironment </w:t>
      </w:r>
      <w:r>
        <w:rPr>
          <w:rFonts w:ascii="Arial" w:hAnsi="Arial" w:cs="Arial"/>
          <w:i/>
          <w:iCs/>
          <w:sz w:val="22"/>
          <w:szCs w:val="22"/>
        </w:rPr>
        <w:t xml:space="preserve">of </w:t>
      </w:r>
      <w:proofErr w:type="spellStart"/>
      <w:r>
        <w:rPr>
          <w:rFonts w:ascii="Arial" w:hAnsi="Arial" w:cs="Arial"/>
          <w:i/>
          <w:iCs/>
          <w:sz w:val="22"/>
          <w:szCs w:val="22"/>
        </w:rPr>
        <w:t>myeloablated</w:t>
      </w:r>
      <w:proofErr w:type="spellEnd"/>
      <w:r>
        <w:rPr>
          <w:rFonts w:ascii="Arial" w:hAnsi="Arial" w:cs="Arial"/>
          <w:i/>
          <w:iCs/>
          <w:sz w:val="22"/>
          <w:szCs w:val="22"/>
        </w:rPr>
        <w:t xml:space="preserve"> for transplantation recipient </w:t>
      </w:r>
      <w:r w:rsidRPr="000B444B">
        <w:rPr>
          <w:rFonts w:ascii="Arial" w:hAnsi="Arial" w:cs="Arial"/>
          <w:i/>
          <w:iCs/>
          <w:sz w:val="22"/>
          <w:szCs w:val="22"/>
        </w:rPr>
        <w:t>that facilitate homing, engraftment, and subsequent expansion of HSPCs</w:t>
      </w:r>
      <w:r>
        <w:rPr>
          <w:rFonts w:ascii="Arial" w:hAnsi="Arial" w:cs="Arial"/>
          <w:i/>
          <w:iCs/>
          <w:sz w:val="22"/>
          <w:szCs w:val="22"/>
        </w:rPr>
        <w:t>, and</w:t>
      </w:r>
      <w:r w:rsidRPr="000B444B">
        <w:rPr>
          <w:rFonts w:ascii="Arial" w:hAnsi="Arial" w:cs="Arial"/>
          <w:i/>
          <w:iCs/>
          <w:sz w:val="22"/>
          <w:szCs w:val="22"/>
        </w:rPr>
        <w:t xml:space="preserve"> </w:t>
      </w:r>
      <w:r>
        <w:rPr>
          <w:rFonts w:ascii="Arial" w:hAnsi="Arial" w:cs="Arial"/>
          <w:i/>
          <w:iCs/>
          <w:sz w:val="22"/>
          <w:szCs w:val="22"/>
        </w:rPr>
        <w:t>to shed more light on</w:t>
      </w:r>
      <w:r w:rsidRPr="000B444B">
        <w:rPr>
          <w:rFonts w:ascii="Arial" w:hAnsi="Arial" w:cs="Arial"/>
          <w:i/>
          <w:iCs/>
          <w:sz w:val="22"/>
          <w:szCs w:val="22"/>
        </w:rPr>
        <w:t xml:space="preserve"> </w:t>
      </w:r>
      <w:r>
        <w:rPr>
          <w:rFonts w:ascii="Arial" w:hAnsi="Arial" w:cs="Arial"/>
          <w:i/>
          <w:iCs/>
          <w:sz w:val="22"/>
          <w:szCs w:val="22"/>
        </w:rPr>
        <w:t xml:space="preserve">the </w:t>
      </w:r>
      <w:r w:rsidRPr="000B444B">
        <w:rPr>
          <w:rFonts w:ascii="Arial" w:hAnsi="Arial" w:cs="Arial"/>
          <w:i/>
          <w:iCs/>
          <w:sz w:val="22"/>
          <w:szCs w:val="22"/>
        </w:rPr>
        <w:t xml:space="preserve">significance of endogenous expression of </w:t>
      </w:r>
      <w:proofErr w:type="spellStart"/>
      <w:r w:rsidRPr="000B444B">
        <w:rPr>
          <w:rFonts w:ascii="Arial" w:hAnsi="Arial" w:cs="Arial"/>
          <w:i/>
          <w:iCs/>
          <w:sz w:val="22"/>
          <w:szCs w:val="22"/>
        </w:rPr>
        <w:t>ComC</w:t>
      </w:r>
      <w:proofErr w:type="spellEnd"/>
      <w:r w:rsidRPr="000B444B">
        <w:rPr>
          <w:rFonts w:ascii="Arial" w:hAnsi="Arial" w:cs="Arial"/>
          <w:i/>
          <w:iCs/>
          <w:sz w:val="22"/>
          <w:szCs w:val="22"/>
        </w:rPr>
        <w:t xml:space="preserve"> proteins in HSPCs (</w:t>
      </w:r>
      <w:proofErr w:type="spellStart"/>
      <w:r w:rsidRPr="000B444B">
        <w:rPr>
          <w:rFonts w:ascii="Arial" w:hAnsi="Arial" w:cs="Arial"/>
          <w:i/>
          <w:iCs/>
          <w:sz w:val="22"/>
          <w:szCs w:val="22"/>
        </w:rPr>
        <w:t>complosome</w:t>
      </w:r>
      <w:proofErr w:type="spellEnd"/>
      <w:r w:rsidRPr="000B444B">
        <w:rPr>
          <w:rFonts w:ascii="Arial" w:hAnsi="Arial" w:cs="Arial"/>
          <w:i/>
          <w:iCs/>
          <w:sz w:val="22"/>
          <w:szCs w:val="22"/>
        </w:rPr>
        <w:t xml:space="preserve">) - </w:t>
      </w:r>
      <w:r>
        <w:rPr>
          <w:rFonts w:ascii="Arial" w:hAnsi="Arial" w:cs="Arial"/>
          <w:i/>
          <w:iCs/>
          <w:sz w:val="22"/>
          <w:szCs w:val="22"/>
        </w:rPr>
        <w:t>that</w:t>
      </w:r>
      <w:r w:rsidRPr="000B444B">
        <w:rPr>
          <w:rFonts w:ascii="Arial" w:hAnsi="Arial" w:cs="Arial"/>
          <w:i/>
          <w:iCs/>
          <w:sz w:val="22"/>
          <w:szCs w:val="22"/>
        </w:rPr>
        <w:t xml:space="preserve"> as we hypothesize supports engraftment </w:t>
      </w:r>
      <w:r>
        <w:rPr>
          <w:rFonts w:ascii="Arial" w:hAnsi="Arial" w:cs="Arial"/>
          <w:i/>
          <w:iCs/>
          <w:sz w:val="22"/>
          <w:szCs w:val="22"/>
        </w:rPr>
        <w:t>and expansion of transplanted HSPCs in</w:t>
      </w:r>
      <w:r w:rsidRPr="000B444B">
        <w:rPr>
          <w:rFonts w:ascii="Arial" w:hAnsi="Arial" w:cs="Arial"/>
          <w:i/>
          <w:iCs/>
          <w:sz w:val="22"/>
          <w:szCs w:val="22"/>
        </w:rPr>
        <w:t xml:space="preserve"> BM.</w:t>
      </w:r>
      <w:r w:rsidRPr="0070518F">
        <w:rPr>
          <w:rFonts w:ascii="Arial" w:hAnsi="Arial" w:cs="Arial"/>
          <w:i/>
          <w:iCs/>
          <w:sz w:val="22"/>
          <w:szCs w:val="22"/>
        </w:rPr>
        <w:t xml:space="preserve"> </w:t>
      </w:r>
    </w:p>
    <w:p w14:paraId="4786E4E2" w14:textId="77777777" w:rsidR="00E83568" w:rsidRDefault="00E83568" w:rsidP="00E83568">
      <w:pPr>
        <w:widowControl w:val="0"/>
        <w:pBdr>
          <w:bottom w:val="single" w:sz="4" w:space="1" w:color="auto"/>
        </w:pBdr>
        <w:autoSpaceDE w:val="0"/>
        <w:autoSpaceDN w:val="0"/>
        <w:adjustRightInd w:val="0"/>
        <w:jc w:val="both"/>
        <w:rPr>
          <w:rFonts w:cs="Consolas"/>
        </w:rPr>
      </w:pPr>
    </w:p>
    <w:p w14:paraId="1D079A41" w14:textId="77777777" w:rsidR="00AA4032" w:rsidRDefault="00AA4032" w:rsidP="00760FFD">
      <w:pPr>
        <w:widowControl w:val="0"/>
        <w:autoSpaceDE w:val="0"/>
        <w:autoSpaceDN w:val="0"/>
        <w:adjustRightInd w:val="0"/>
        <w:rPr>
          <w:rFonts w:cs="Consolas"/>
        </w:rPr>
      </w:pPr>
    </w:p>
    <w:p w14:paraId="47B57585" w14:textId="77777777" w:rsidR="00AA4032" w:rsidRDefault="00AA4032" w:rsidP="00E16188">
      <w:pPr>
        <w:widowControl w:val="0"/>
        <w:autoSpaceDE w:val="0"/>
        <w:autoSpaceDN w:val="0"/>
        <w:adjustRightInd w:val="0"/>
        <w:jc w:val="both"/>
        <w:rPr>
          <w:b/>
        </w:rPr>
      </w:pPr>
      <w:r w:rsidRPr="00E83568">
        <w:rPr>
          <w:b/>
        </w:rPr>
        <w:t xml:space="preserve">We are looking for a highly motivated person to participate as a post-doctoral fellow within scientific project at the </w:t>
      </w:r>
      <w:r w:rsidR="004E5A73">
        <w:rPr>
          <w:b/>
        </w:rPr>
        <w:t>Warsaw Medical University at the Department of Regenerative Medicine</w:t>
      </w:r>
    </w:p>
    <w:p w14:paraId="176A5B37" w14:textId="77777777" w:rsidR="004E5A73" w:rsidRPr="00E83568" w:rsidRDefault="004E5A73" w:rsidP="00E16188">
      <w:pPr>
        <w:widowControl w:val="0"/>
        <w:autoSpaceDE w:val="0"/>
        <w:autoSpaceDN w:val="0"/>
        <w:adjustRightInd w:val="0"/>
        <w:jc w:val="both"/>
        <w:rPr>
          <w:b/>
        </w:rPr>
      </w:pPr>
    </w:p>
    <w:p w14:paraId="663A1609" w14:textId="77777777" w:rsidR="00AA4032" w:rsidRDefault="00AA4032" w:rsidP="00E16188">
      <w:pPr>
        <w:widowControl w:val="0"/>
        <w:autoSpaceDE w:val="0"/>
        <w:autoSpaceDN w:val="0"/>
        <w:adjustRightInd w:val="0"/>
        <w:jc w:val="both"/>
      </w:pPr>
    </w:p>
    <w:p w14:paraId="5D6C34EE" w14:textId="77777777" w:rsidR="004E5A73" w:rsidRDefault="000B08AB" w:rsidP="00E16188">
      <w:pPr>
        <w:widowControl w:val="0"/>
        <w:autoSpaceDE w:val="0"/>
        <w:autoSpaceDN w:val="0"/>
        <w:adjustRightInd w:val="0"/>
      </w:pPr>
      <w:r>
        <w:rPr>
          <w:rStyle w:val="Pogrubienie"/>
        </w:rPr>
        <w:t>S</w:t>
      </w:r>
      <w:r w:rsidR="00AA4032">
        <w:rPr>
          <w:rStyle w:val="Pogrubienie"/>
        </w:rPr>
        <w:t>upervisor</w:t>
      </w:r>
      <w:r>
        <w:rPr>
          <w:rStyle w:val="Pogrubienie"/>
        </w:rPr>
        <w:t>s</w:t>
      </w:r>
      <w:r w:rsidR="00AA4032">
        <w:rPr>
          <w:rStyle w:val="Pogrubienie"/>
        </w:rPr>
        <w:t>: </w:t>
      </w:r>
      <w:r>
        <w:t>Mariusz Ratajczak</w:t>
      </w:r>
      <w:r w:rsidR="00AA4032">
        <w:t xml:space="preserve">, </w:t>
      </w:r>
      <w:r>
        <w:t xml:space="preserve">MD, </w:t>
      </w:r>
      <w:r w:rsidR="00AA4032">
        <w:t xml:space="preserve">PhD, </w:t>
      </w:r>
    </w:p>
    <w:p w14:paraId="1B376A40" w14:textId="77777777" w:rsidR="00E16188" w:rsidRDefault="00E16188" w:rsidP="00E16188">
      <w:pPr>
        <w:widowControl w:val="0"/>
        <w:autoSpaceDE w:val="0"/>
        <w:autoSpaceDN w:val="0"/>
        <w:adjustRightInd w:val="0"/>
        <w:rPr>
          <w:rStyle w:val="Pogrubienie"/>
          <w:b w:val="0"/>
        </w:rPr>
      </w:pPr>
      <w:r>
        <w:rPr>
          <w:rStyle w:val="Pogrubienie"/>
        </w:rPr>
        <w:t xml:space="preserve">Type of employment relationship: </w:t>
      </w:r>
      <w:r w:rsidRPr="00E16188">
        <w:rPr>
          <w:rStyle w:val="Pogrubienie"/>
          <w:b w:val="0"/>
        </w:rPr>
        <w:t xml:space="preserve">Contact </w:t>
      </w:r>
      <w:r>
        <w:rPr>
          <w:rStyle w:val="Pogrubienie"/>
          <w:b w:val="0"/>
        </w:rPr>
        <w:t xml:space="preserve">of mandate </w:t>
      </w:r>
    </w:p>
    <w:p w14:paraId="37F3E048" w14:textId="77777777" w:rsidR="00E16188" w:rsidRDefault="00E16188" w:rsidP="00E16188">
      <w:pPr>
        <w:widowControl w:val="0"/>
        <w:autoSpaceDE w:val="0"/>
        <w:autoSpaceDN w:val="0"/>
        <w:adjustRightInd w:val="0"/>
        <w:rPr>
          <w:rStyle w:val="Pogrubienie"/>
        </w:rPr>
      </w:pPr>
      <w:r w:rsidRPr="00E16188">
        <w:rPr>
          <w:rStyle w:val="Pogrubienie"/>
        </w:rPr>
        <w:t>Employing entity:</w:t>
      </w:r>
      <w:r>
        <w:rPr>
          <w:rStyle w:val="Pogrubienie"/>
          <w:b w:val="0"/>
        </w:rPr>
        <w:t xml:space="preserve"> </w:t>
      </w:r>
      <w:r w:rsidR="004E5A73">
        <w:rPr>
          <w:rStyle w:val="Pogrubienie"/>
          <w:b w:val="0"/>
        </w:rPr>
        <w:t>Warsaw Medical University</w:t>
      </w:r>
      <w:r>
        <w:rPr>
          <w:rStyle w:val="Pogrubienie"/>
          <w:b w:val="0"/>
        </w:rPr>
        <w:t xml:space="preserve"> </w:t>
      </w:r>
    </w:p>
    <w:p w14:paraId="1EB82E8B" w14:textId="39BD19D5" w:rsidR="00F841F3" w:rsidRDefault="00AA4032" w:rsidP="00760FFD">
      <w:pPr>
        <w:widowControl w:val="0"/>
        <w:autoSpaceDE w:val="0"/>
        <w:autoSpaceDN w:val="0"/>
        <w:adjustRightInd w:val="0"/>
      </w:pPr>
      <w:r>
        <w:rPr>
          <w:rStyle w:val="Pogrubienie"/>
        </w:rPr>
        <w:t>Application deadline</w:t>
      </w:r>
      <w:r w:rsidRPr="002D5115">
        <w:rPr>
          <w:rStyle w:val="Pogrubienie"/>
          <w:color w:val="000000" w:themeColor="text1"/>
        </w:rPr>
        <w:t>:</w:t>
      </w:r>
      <w:r w:rsidR="006D7BBC">
        <w:rPr>
          <w:rStyle w:val="Pogrubienie"/>
          <w:color w:val="000000" w:themeColor="text1"/>
        </w:rPr>
        <w:t xml:space="preserve"> </w:t>
      </w:r>
      <w:r w:rsidR="00E51B38">
        <w:rPr>
          <w:rStyle w:val="Pogrubienie"/>
          <w:color w:val="000000" w:themeColor="text1"/>
        </w:rPr>
        <w:t>September</w:t>
      </w:r>
      <w:r w:rsidR="004E5A73">
        <w:rPr>
          <w:rStyle w:val="Pogrubienie"/>
          <w:b w:val="0"/>
          <w:color w:val="000000" w:themeColor="text1"/>
        </w:rPr>
        <w:t xml:space="preserve"> </w:t>
      </w:r>
      <w:r w:rsidR="00E51B38">
        <w:rPr>
          <w:rStyle w:val="Pogrubienie"/>
          <w:b w:val="0"/>
          <w:color w:val="000000" w:themeColor="text1"/>
        </w:rPr>
        <w:t>15</w:t>
      </w:r>
      <w:r w:rsidR="004E5A73" w:rsidRPr="004E5A73">
        <w:rPr>
          <w:rStyle w:val="Pogrubienie"/>
          <w:b w:val="0"/>
          <w:color w:val="000000" w:themeColor="text1"/>
          <w:vertAlign w:val="superscript"/>
        </w:rPr>
        <w:t>st</w:t>
      </w:r>
      <w:r w:rsidR="000B08AB" w:rsidRPr="002D5115">
        <w:rPr>
          <w:rStyle w:val="Pogrubienie"/>
          <w:b w:val="0"/>
          <w:color w:val="000000" w:themeColor="text1"/>
        </w:rPr>
        <w:t xml:space="preserve">, </w:t>
      </w:r>
      <w:r w:rsidR="004E5A73">
        <w:rPr>
          <w:rStyle w:val="Pogrubienie"/>
          <w:b w:val="0"/>
          <w:color w:val="000000" w:themeColor="text1"/>
        </w:rPr>
        <w:t>202</w:t>
      </w:r>
      <w:r w:rsidR="000666D6">
        <w:rPr>
          <w:rStyle w:val="Pogrubienie"/>
          <w:b w:val="0"/>
          <w:color w:val="000000" w:themeColor="text1"/>
        </w:rPr>
        <w:t>4</w:t>
      </w:r>
      <w:r>
        <w:br/>
      </w:r>
      <w:r>
        <w:rPr>
          <w:rStyle w:val="Pogrubienie"/>
        </w:rPr>
        <w:t>Expected start date: </w:t>
      </w:r>
      <w:r w:rsidR="00F268A0">
        <w:t xml:space="preserve">October </w:t>
      </w:r>
      <w:r w:rsidR="004E5A73">
        <w:t>202</w:t>
      </w:r>
      <w:r w:rsidR="00B7206F">
        <w:t>4</w:t>
      </w:r>
      <w:r>
        <w:br/>
      </w:r>
      <w:r>
        <w:rPr>
          <w:rStyle w:val="Pogrubienie"/>
        </w:rPr>
        <w:t>Duration: </w:t>
      </w:r>
      <w:r w:rsidR="00EA0CE4">
        <w:t>2</w:t>
      </w:r>
      <w:r w:rsidR="008F6770">
        <w:t>8</w:t>
      </w:r>
      <w:r w:rsidR="00E16188">
        <w:t xml:space="preserve">-month position </w:t>
      </w:r>
    </w:p>
    <w:p w14:paraId="5C8EC58B" w14:textId="069C0E30" w:rsidR="00284298" w:rsidRDefault="00F841F3" w:rsidP="00284298">
      <w:pPr>
        <w:rPr>
          <w:rFonts w:eastAsia="Times New Roman"/>
        </w:rPr>
      </w:pPr>
      <w:r>
        <w:t xml:space="preserve">The position is offered for a maximum period of </w:t>
      </w:r>
      <w:r w:rsidR="00EA0CE4">
        <w:t>2</w:t>
      </w:r>
      <w:r w:rsidR="007B6305">
        <w:t>8</w:t>
      </w:r>
      <w:r>
        <w:t xml:space="preserve"> months with an initial probation period of 6 months.</w:t>
      </w:r>
      <w:r w:rsidR="00AA4032">
        <w:br/>
      </w:r>
      <w:r w:rsidR="00E16188">
        <w:rPr>
          <w:rStyle w:val="Pogrubienie"/>
        </w:rPr>
        <w:t>Salary</w:t>
      </w:r>
      <w:r w:rsidR="00AA4032">
        <w:rPr>
          <w:rStyle w:val="Pogrubienie"/>
        </w:rPr>
        <w:t>: </w:t>
      </w:r>
      <w:r w:rsidR="004E5A73">
        <w:t>1</w:t>
      </w:r>
      <w:r w:rsidR="00AE646D">
        <w:t>1</w:t>
      </w:r>
      <w:r w:rsidR="004E5A73">
        <w:t xml:space="preserve"> </w:t>
      </w:r>
      <w:r w:rsidR="00AE646D">
        <w:t>6</w:t>
      </w:r>
      <w:r w:rsidR="004E5A73">
        <w:t>00 PLN</w:t>
      </w:r>
      <w:r w:rsidR="00413E0E">
        <w:t xml:space="preserve"> (</w:t>
      </w:r>
      <w:r w:rsidR="00413E0E" w:rsidRPr="00284298">
        <w:rPr>
          <w:b/>
          <w:bCs/>
        </w:rPr>
        <w:t>tax included)</w:t>
      </w:r>
      <w:r w:rsidR="00A42EE2">
        <w:rPr>
          <w:b/>
          <w:bCs/>
        </w:rPr>
        <w:t>-</w:t>
      </w:r>
      <w:r w:rsidR="00284298" w:rsidRPr="00284298">
        <w:rPr>
          <w:b/>
          <w:bCs/>
        </w:rPr>
        <w:t xml:space="preserve"> (</w:t>
      </w:r>
      <w:r w:rsidR="00284298" w:rsidRPr="00284298">
        <w:rPr>
          <w:rFonts w:ascii="Aptos" w:eastAsia="Times New Roman" w:hAnsi="Aptos"/>
          <w:b/>
          <w:bCs/>
          <w:color w:val="000000"/>
        </w:rPr>
        <w:t>gross plus employers fees</w:t>
      </w:r>
      <w:r w:rsidR="00284298">
        <w:rPr>
          <w:rFonts w:ascii="Aptos" w:eastAsia="Times New Roman" w:hAnsi="Aptos"/>
          <w:color w:val="000000"/>
        </w:rPr>
        <w:t>)</w:t>
      </w:r>
    </w:p>
    <w:p w14:paraId="21F00B7E" w14:textId="6C3D3BD0" w:rsidR="00AA4032" w:rsidRPr="00760FFD" w:rsidRDefault="00AA4032" w:rsidP="00760FFD">
      <w:pPr>
        <w:widowControl w:val="0"/>
        <w:autoSpaceDE w:val="0"/>
        <w:autoSpaceDN w:val="0"/>
        <w:adjustRightInd w:val="0"/>
        <w:rPr>
          <w:rFonts w:cs="Consolas"/>
        </w:rPr>
      </w:pPr>
    </w:p>
    <w:p w14:paraId="37FD5028" w14:textId="77777777" w:rsidR="006E1E43" w:rsidRPr="006E1E43" w:rsidRDefault="006E1E43" w:rsidP="00760FFD">
      <w:pPr>
        <w:widowControl w:val="0"/>
        <w:autoSpaceDE w:val="0"/>
        <w:autoSpaceDN w:val="0"/>
        <w:adjustRightInd w:val="0"/>
        <w:rPr>
          <w:rFonts w:cs="Consolas"/>
          <w:b/>
        </w:rPr>
      </w:pPr>
      <w:r w:rsidRPr="006E1E43">
        <w:rPr>
          <w:rFonts w:cs="Consolas"/>
          <w:b/>
        </w:rPr>
        <w:t>Eligibility:</w:t>
      </w:r>
    </w:p>
    <w:p w14:paraId="0BF8DBDC" w14:textId="77777777" w:rsidR="00760FFD" w:rsidRPr="00760FFD" w:rsidRDefault="000B08AB" w:rsidP="00760FFD">
      <w:pPr>
        <w:widowControl w:val="0"/>
        <w:autoSpaceDE w:val="0"/>
        <w:autoSpaceDN w:val="0"/>
        <w:adjustRightInd w:val="0"/>
        <w:rPr>
          <w:rFonts w:cs="Consolas"/>
        </w:rPr>
      </w:pPr>
      <w:r w:rsidRPr="000B08AB">
        <w:rPr>
          <w:rFonts w:cs="Consolas"/>
        </w:rPr>
        <w:t>A suitable applicant should have the following qualifications</w:t>
      </w:r>
      <w:r>
        <w:rPr>
          <w:rFonts w:cs="Consolas"/>
        </w:rPr>
        <w:t>:</w:t>
      </w:r>
    </w:p>
    <w:p w14:paraId="65174BC7" w14:textId="77777777" w:rsidR="00760FFD"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PhD d</w:t>
      </w:r>
      <w:r w:rsidR="00760FFD" w:rsidRPr="00F2654D">
        <w:rPr>
          <w:rFonts w:cs="Consolas"/>
        </w:rPr>
        <w:t>egree in Biology or Biotechnology</w:t>
      </w:r>
    </w:p>
    <w:p w14:paraId="49C30EB9" w14:textId="1CF5A559" w:rsidR="00F2654D" w:rsidRPr="00534EFF" w:rsidRDefault="00760FFD" w:rsidP="00534EFF">
      <w:pPr>
        <w:pStyle w:val="Akapitzlist"/>
        <w:widowControl w:val="0"/>
        <w:numPr>
          <w:ilvl w:val="0"/>
          <w:numId w:val="1"/>
        </w:numPr>
        <w:autoSpaceDE w:val="0"/>
        <w:autoSpaceDN w:val="0"/>
        <w:adjustRightInd w:val="0"/>
        <w:rPr>
          <w:rFonts w:cs="Consolas"/>
        </w:rPr>
      </w:pPr>
      <w:r w:rsidRPr="00F2654D">
        <w:rPr>
          <w:rFonts w:cs="Consolas"/>
        </w:rPr>
        <w:t>Basic previous experience in the following</w:t>
      </w:r>
      <w:r w:rsidR="0037732F">
        <w:rPr>
          <w:rFonts w:cs="Consolas"/>
        </w:rPr>
        <w:t xml:space="preserve"> </w:t>
      </w:r>
      <w:r w:rsidRPr="00534EFF">
        <w:rPr>
          <w:rFonts w:cs="Consolas"/>
        </w:rPr>
        <w:t>biology technique</w:t>
      </w:r>
      <w:r w:rsidR="00BD6A00" w:rsidRPr="00534EFF">
        <w:rPr>
          <w:rFonts w:cs="Consolas"/>
        </w:rPr>
        <w:t>s</w:t>
      </w:r>
      <w:r w:rsidR="00534EFF">
        <w:rPr>
          <w:rFonts w:cs="Consolas"/>
        </w:rPr>
        <w:t xml:space="preserve">: </w:t>
      </w:r>
      <w:r w:rsidR="0037732F">
        <w:rPr>
          <w:rFonts w:cs="Consolas"/>
        </w:rPr>
        <w:t xml:space="preserve">RNA seq, </w:t>
      </w:r>
      <w:r w:rsidR="008D0884">
        <w:rPr>
          <w:rFonts w:cs="Consolas"/>
        </w:rPr>
        <w:t>Mass Spectrometry</w:t>
      </w:r>
      <w:r w:rsidR="0037732F">
        <w:rPr>
          <w:rFonts w:cs="Consolas"/>
        </w:rPr>
        <w:t xml:space="preserve">, </w:t>
      </w:r>
      <w:r w:rsidRPr="00534EFF">
        <w:rPr>
          <w:rFonts w:cs="Consolas"/>
        </w:rPr>
        <w:t>flow cytometry</w:t>
      </w:r>
      <w:r w:rsidR="00EA0AE2">
        <w:rPr>
          <w:rFonts w:cs="Consolas"/>
        </w:rPr>
        <w:t>, imaging</w:t>
      </w:r>
    </w:p>
    <w:p w14:paraId="5B18AB98" w14:textId="77777777" w:rsidR="00760FFD" w:rsidRPr="00F2654D" w:rsidRDefault="000B08AB" w:rsidP="00F2654D">
      <w:pPr>
        <w:pStyle w:val="Akapitzlist"/>
        <w:widowControl w:val="0"/>
        <w:numPr>
          <w:ilvl w:val="0"/>
          <w:numId w:val="1"/>
        </w:numPr>
        <w:autoSpaceDE w:val="0"/>
        <w:autoSpaceDN w:val="0"/>
        <w:adjustRightInd w:val="0"/>
        <w:rPr>
          <w:rFonts w:cs="Consolas"/>
        </w:rPr>
      </w:pPr>
      <w:r>
        <w:t xml:space="preserve">Academic background in cell biology, molecular biology, </w:t>
      </w:r>
      <w:r w:rsidR="00BD6A00">
        <w:t xml:space="preserve">and/or </w:t>
      </w:r>
      <w:r>
        <w:t>genetics.</w:t>
      </w:r>
    </w:p>
    <w:p w14:paraId="5C7BBEA2" w14:textId="77777777" w:rsidR="00F2654D" w:rsidRPr="00F2654D" w:rsidRDefault="00760FFD" w:rsidP="00F2654D">
      <w:pPr>
        <w:pStyle w:val="Akapitzlist"/>
        <w:widowControl w:val="0"/>
        <w:numPr>
          <w:ilvl w:val="0"/>
          <w:numId w:val="1"/>
        </w:numPr>
        <w:autoSpaceDE w:val="0"/>
        <w:autoSpaceDN w:val="0"/>
        <w:adjustRightInd w:val="0"/>
        <w:rPr>
          <w:rFonts w:cs="Consolas"/>
        </w:rPr>
      </w:pPr>
      <w:r w:rsidRPr="00F2654D">
        <w:rPr>
          <w:rFonts w:cs="Consolas"/>
        </w:rPr>
        <w:t xml:space="preserve">Scientific </w:t>
      </w:r>
      <w:r w:rsidR="007951BE" w:rsidRPr="00F2654D">
        <w:rPr>
          <w:rFonts w:cs="Consolas"/>
        </w:rPr>
        <w:t xml:space="preserve">research </w:t>
      </w:r>
      <w:r w:rsidRPr="00F2654D">
        <w:rPr>
          <w:rFonts w:cs="Consolas"/>
        </w:rPr>
        <w:t xml:space="preserve">experience (full-text international publications, full-text articles published in </w:t>
      </w:r>
      <w:r w:rsidR="007951BE" w:rsidRPr="00F2654D">
        <w:rPr>
          <w:rFonts w:cs="Consolas"/>
        </w:rPr>
        <w:t>P</w:t>
      </w:r>
      <w:r w:rsidRPr="00F2654D">
        <w:rPr>
          <w:rFonts w:cs="Consolas"/>
        </w:rPr>
        <w:t xml:space="preserve">olish journals, international abstracts, active participation in (inter)national meetings, and scientific courses) </w:t>
      </w:r>
    </w:p>
    <w:p w14:paraId="124D3395" w14:textId="77777777" w:rsidR="00F2654D" w:rsidRPr="00F2654D" w:rsidRDefault="000B08AB" w:rsidP="00F2654D">
      <w:pPr>
        <w:pStyle w:val="Akapitzlist"/>
        <w:widowControl w:val="0"/>
        <w:numPr>
          <w:ilvl w:val="0"/>
          <w:numId w:val="1"/>
        </w:numPr>
        <w:autoSpaceDE w:val="0"/>
        <w:autoSpaceDN w:val="0"/>
        <w:adjustRightInd w:val="0"/>
        <w:rPr>
          <w:rFonts w:cs="Consolas"/>
        </w:rPr>
      </w:pPr>
      <w:r>
        <w:t>Ability to work independently</w:t>
      </w:r>
    </w:p>
    <w:p w14:paraId="36C08FBB" w14:textId="77777777" w:rsidR="007951BE" w:rsidRDefault="007951BE" w:rsidP="00F2654D">
      <w:pPr>
        <w:pStyle w:val="Akapitzlist"/>
        <w:widowControl w:val="0"/>
        <w:numPr>
          <w:ilvl w:val="0"/>
          <w:numId w:val="1"/>
        </w:numPr>
        <w:autoSpaceDE w:val="0"/>
        <w:autoSpaceDN w:val="0"/>
        <w:adjustRightInd w:val="0"/>
        <w:rPr>
          <w:rFonts w:cs="Consolas"/>
        </w:rPr>
      </w:pPr>
      <w:r w:rsidRPr="00F2654D">
        <w:rPr>
          <w:rFonts w:cs="Consolas"/>
        </w:rPr>
        <w:t>The candidate is required to have</w:t>
      </w:r>
      <w:r w:rsidR="00E16188">
        <w:rPr>
          <w:rFonts w:cs="Consolas"/>
        </w:rPr>
        <w:t xml:space="preserve"> knowledge of stem cell biology</w:t>
      </w:r>
    </w:p>
    <w:p w14:paraId="1456C00B" w14:textId="77777777" w:rsidR="00F2654D" w:rsidRPr="00F2654D" w:rsidRDefault="00BD6A00" w:rsidP="00F2654D">
      <w:pPr>
        <w:pStyle w:val="Akapitzlist"/>
        <w:widowControl w:val="0"/>
        <w:numPr>
          <w:ilvl w:val="0"/>
          <w:numId w:val="1"/>
        </w:numPr>
        <w:autoSpaceDE w:val="0"/>
        <w:autoSpaceDN w:val="0"/>
        <w:adjustRightInd w:val="0"/>
        <w:rPr>
          <w:rFonts w:cs="Consolas"/>
        </w:rPr>
      </w:pPr>
      <w:r>
        <w:rPr>
          <w:rFonts w:cs="Consolas"/>
        </w:rPr>
        <w:t>Good knowledge of</w:t>
      </w:r>
      <w:r w:rsidR="000B08AB" w:rsidRPr="00F2654D">
        <w:rPr>
          <w:rFonts w:cs="Consolas"/>
        </w:rPr>
        <w:t xml:space="preserve"> English</w:t>
      </w:r>
    </w:p>
    <w:p w14:paraId="5F1227EE" w14:textId="77777777" w:rsidR="000B08AB"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Strong interest in science</w:t>
      </w:r>
    </w:p>
    <w:p w14:paraId="5692CFAB" w14:textId="77777777" w:rsidR="00982EFB" w:rsidRDefault="00982EFB" w:rsidP="00760FFD">
      <w:pPr>
        <w:rPr>
          <w:rFonts w:cs="Consolas"/>
        </w:rPr>
      </w:pPr>
    </w:p>
    <w:p w14:paraId="5935B6C6" w14:textId="77777777" w:rsidR="00E83568" w:rsidRDefault="000B08AB" w:rsidP="000B08AB">
      <w:pPr>
        <w:rPr>
          <w:b/>
        </w:rPr>
      </w:pPr>
      <w:r w:rsidRPr="00F00649">
        <w:rPr>
          <w:b/>
        </w:rPr>
        <w:t>How to apply:</w:t>
      </w:r>
      <w:r w:rsidR="00E83568">
        <w:rPr>
          <w:b/>
        </w:rPr>
        <w:t xml:space="preserve"> </w:t>
      </w:r>
    </w:p>
    <w:p w14:paraId="7CB1BA18" w14:textId="77777777" w:rsidR="000B08AB" w:rsidRPr="00E83568" w:rsidRDefault="00E83568" w:rsidP="000B08AB">
      <w:pPr>
        <w:rPr>
          <w:b/>
        </w:rPr>
      </w:pPr>
      <w:r>
        <w:t>Please</w:t>
      </w:r>
      <w:r w:rsidR="00BD6A00">
        <w:t xml:space="preserve"> send</w:t>
      </w:r>
      <w:r w:rsidR="000B08AB">
        <w:t>:</w:t>
      </w:r>
    </w:p>
    <w:p w14:paraId="493D27B3" w14:textId="77777777" w:rsidR="00BD6A00" w:rsidRPr="00E83568" w:rsidRDefault="00BD6A00" w:rsidP="00E83568">
      <w:pPr>
        <w:pStyle w:val="Akapitzlist"/>
        <w:numPr>
          <w:ilvl w:val="0"/>
          <w:numId w:val="2"/>
        </w:numPr>
      </w:pPr>
      <w:r w:rsidRPr="00E83568">
        <w:t>Letter of interest</w:t>
      </w:r>
    </w:p>
    <w:p w14:paraId="4A28D6F8" w14:textId="77777777" w:rsidR="000B08AB" w:rsidRPr="00E83568" w:rsidRDefault="000B08AB" w:rsidP="00E83568">
      <w:pPr>
        <w:pStyle w:val="Akapitzlist"/>
        <w:numPr>
          <w:ilvl w:val="0"/>
          <w:numId w:val="2"/>
        </w:numPr>
      </w:pPr>
      <w:r w:rsidRPr="00E83568">
        <w:t>CV</w:t>
      </w:r>
    </w:p>
    <w:p w14:paraId="1BCBB2E0" w14:textId="77777777" w:rsidR="000B08AB" w:rsidRPr="00E83568" w:rsidRDefault="000B08AB" w:rsidP="00E83568">
      <w:pPr>
        <w:pStyle w:val="Akapitzlist"/>
        <w:numPr>
          <w:ilvl w:val="0"/>
          <w:numId w:val="2"/>
        </w:numPr>
      </w:pPr>
      <w:r w:rsidRPr="00E83568">
        <w:t>Publication list</w:t>
      </w:r>
    </w:p>
    <w:p w14:paraId="7099F97D" w14:textId="77777777" w:rsidR="000B08AB" w:rsidRPr="00E83568" w:rsidRDefault="000B08AB" w:rsidP="00E83568">
      <w:pPr>
        <w:pStyle w:val="Akapitzlist"/>
        <w:numPr>
          <w:ilvl w:val="0"/>
          <w:numId w:val="2"/>
        </w:numPr>
      </w:pPr>
      <w:r w:rsidRPr="00E83568">
        <w:t>Photo</w:t>
      </w:r>
    </w:p>
    <w:p w14:paraId="5E052080" w14:textId="35C2B900" w:rsidR="000B08AB" w:rsidRPr="0037732F" w:rsidRDefault="000B08AB" w:rsidP="00E83568">
      <w:pPr>
        <w:pStyle w:val="Akapitzlist"/>
        <w:numPr>
          <w:ilvl w:val="0"/>
          <w:numId w:val="2"/>
        </w:numPr>
        <w:rPr>
          <w:b/>
          <w:bCs/>
        </w:rPr>
      </w:pPr>
      <w:r w:rsidRPr="00E83568">
        <w:t xml:space="preserve">Contact details of </w:t>
      </w:r>
      <w:r w:rsidR="007B14E3">
        <w:t>1-2</w:t>
      </w:r>
      <w:r w:rsidR="004E5A73">
        <w:t xml:space="preserve"> </w:t>
      </w:r>
      <w:r w:rsidRPr="00E83568">
        <w:t>potential referees</w:t>
      </w:r>
      <w:r w:rsidR="008126A5">
        <w:t xml:space="preserve"> with </w:t>
      </w:r>
      <w:r w:rsidR="008126A5" w:rsidRPr="0037732F">
        <w:rPr>
          <w:b/>
          <w:bCs/>
        </w:rPr>
        <w:t>recommendation letter</w:t>
      </w:r>
    </w:p>
    <w:p w14:paraId="05BCC484" w14:textId="545CFB76" w:rsidR="000B08AB" w:rsidRPr="00E83568" w:rsidRDefault="002D5115" w:rsidP="00E16188">
      <w:pPr>
        <w:jc w:val="both"/>
        <w:rPr>
          <w:color w:val="000000" w:themeColor="text1"/>
        </w:rPr>
      </w:pPr>
      <w:r>
        <w:t>t</w:t>
      </w:r>
      <w:r w:rsidR="000B08AB" w:rsidRPr="00E83568">
        <w:rPr>
          <w:color w:val="000000" w:themeColor="text1"/>
        </w:rPr>
        <w:t>o:</w:t>
      </w:r>
    </w:p>
    <w:p w14:paraId="35CBB2A7" w14:textId="0A8B7695" w:rsidR="000B08AB" w:rsidRPr="00B350AB" w:rsidRDefault="00B350AB" w:rsidP="00E16188">
      <w:pPr>
        <w:jc w:val="both"/>
        <w:rPr>
          <w:color w:val="000000" w:themeColor="text1"/>
        </w:rPr>
      </w:pPr>
      <w:r w:rsidRPr="00B350AB">
        <w:rPr>
          <w:color w:val="000000" w:themeColor="text1"/>
        </w:rPr>
        <w:t xml:space="preserve">      </w:t>
      </w:r>
      <w:hyperlink r:id="rId7" w:history="1">
        <w:r w:rsidRPr="00B350AB">
          <w:rPr>
            <w:rStyle w:val="Hipercze"/>
            <w:color w:val="000000" w:themeColor="text1"/>
          </w:rPr>
          <w:t>mariusz.ratajczak@wum.edu.pl</w:t>
        </w:r>
      </w:hyperlink>
    </w:p>
    <w:p w14:paraId="7025C7AB" w14:textId="13565D4D" w:rsidR="00B350AB" w:rsidRPr="00B350AB" w:rsidRDefault="00B350AB" w:rsidP="00E16188">
      <w:pPr>
        <w:jc w:val="both"/>
        <w:rPr>
          <w:color w:val="000000" w:themeColor="text1"/>
        </w:rPr>
      </w:pPr>
      <w:r w:rsidRPr="00B350AB">
        <w:rPr>
          <w:color w:val="000000" w:themeColor="text1"/>
        </w:rPr>
        <w:t xml:space="preserve">      </w:t>
      </w:r>
      <w:hyperlink r:id="rId8" w:history="1">
        <w:r w:rsidRPr="00B350AB">
          <w:rPr>
            <w:rStyle w:val="Hipercze"/>
            <w:color w:val="000000" w:themeColor="text1"/>
          </w:rPr>
          <w:t>medycyna.regeneracyjna@wum.edu.pl</w:t>
        </w:r>
      </w:hyperlink>
    </w:p>
    <w:p w14:paraId="0871A15F" w14:textId="77777777" w:rsidR="00B350AB" w:rsidRDefault="00B350AB" w:rsidP="00E16188">
      <w:pPr>
        <w:jc w:val="both"/>
      </w:pPr>
    </w:p>
    <w:p w14:paraId="62917B12" w14:textId="77777777" w:rsidR="002D5115" w:rsidRDefault="000B08AB" w:rsidP="00E16188">
      <w:pPr>
        <w:jc w:val="both"/>
      </w:pPr>
      <w:r>
        <w:t>All</w:t>
      </w:r>
      <w:r w:rsidR="00986B59">
        <w:t xml:space="preserve"> documents should be sent as PDF</w:t>
      </w:r>
      <w:r>
        <w:t xml:space="preserve"> files. </w:t>
      </w:r>
    </w:p>
    <w:p w14:paraId="022B498B" w14:textId="77777777" w:rsidR="000B08AB" w:rsidRPr="00F2654D" w:rsidRDefault="000B08AB" w:rsidP="00E16188">
      <w:pPr>
        <w:jc w:val="both"/>
        <w:rPr>
          <w:b/>
        </w:rPr>
      </w:pPr>
      <w:r>
        <w:lastRenderedPageBreak/>
        <w:t>The e-mail heading should be: „</w:t>
      </w:r>
      <w:r w:rsidR="002D5115">
        <w:rPr>
          <w:b/>
        </w:rPr>
        <w:t>P</w:t>
      </w:r>
      <w:r w:rsidR="00F2654D" w:rsidRPr="00F2654D">
        <w:rPr>
          <w:b/>
        </w:rPr>
        <w:t>ost</w:t>
      </w:r>
      <w:r w:rsidR="002D5115">
        <w:rPr>
          <w:b/>
        </w:rPr>
        <w:t>-</w:t>
      </w:r>
      <w:r w:rsidR="00F2654D" w:rsidRPr="00F2654D">
        <w:rPr>
          <w:b/>
        </w:rPr>
        <w:t>doc</w:t>
      </w:r>
      <w:r w:rsidR="002D5115">
        <w:rPr>
          <w:b/>
        </w:rPr>
        <w:t xml:space="preserve"> – </w:t>
      </w:r>
      <w:r w:rsidR="004E5A73">
        <w:rPr>
          <w:b/>
        </w:rPr>
        <w:t>OPUS</w:t>
      </w:r>
      <w:r w:rsidR="00F2654D" w:rsidRPr="00F2654D">
        <w:rPr>
          <w:b/>
        </w:rPr>
        <w:t xml:space="preserve"> grant</w:t>
      </w:r>
      <w:r w:rsidR="00986B59">
        <w:rPr>
          <w:b/>
        </w:rPr>
        <w:t>”</w:t>
      </w:r>
      <w:r w:rsidR="00E16188">
        <w:rPr>
          <w:b/>
        </w:rPr>
        <w:t>.</w:t>
      </w:r>
    </w:p>
    <w:p w14:paraId="51B11177" w14:textId="77777777" w:rsidR="000B08AB" w:rsidRDefault="000B08AB" w:rsidP="00E16188">
      <w:pPr>
        <w:jc w:val="both"/>
      </w:pPr>
    </w:p>
    <w:p w14:paraId="10F7F660" w14:textId="77777777" w:rsidR="00F2654D" w:rsidRDefault="002D5115" w:rsidP="00E16188">
      <w:pPr>
        <w:jc w:val="both"/>
      </w:pPr>
      <w:r>
        <w:t>Please</w:t>
      </w:r>
      <w:r w:rsidR="000B08AB" w:rsidRPr="00986B59">
        <w:t xml:space="preserve"> provide also the statement that you grant us a permission to process your personal details for the recruitment process: </w:t>
      </w:r>
    </w:p>
    <w:p w14:paraId="746F0CA1" w14:textId="2335C4B8" w:rsidR="00247A67" w:rsidRPr="00617A56" w:rsidRDefault="00247A67" w:rsidP="00617A56">
      <w:pPr>
        <w:jc w:val="both"/>
      </w:pPr>
      <w:r w:rsidRPr="00617A56">
        <w:t>“I hereby give consent for my personal data included in the job offer to be processed for the purposes of recruitment conducted by the Medical University of Warsaw located in Warsaw”</w:t>
      </w:r>
      <w:r w:rsidR="00617A56">
        <w:t>.</w:t>
      </w:r>
    </w:p>
    <w:p w14:paraId="1D9190DC" w14:textId="77777777" w:rsidR="00247A67" w:rsidRPr="00986B59" w:rsidRDefault="00247A67" w:rsidP="00E16188">
      <w:pPr>
        <w:jc w:val="both"/>
      </w:pPr>
    </w:p>
    <w:p w14:paraId="3A06EE45" w14:textId="77777777" w:rsidR="00247A67" w:rsidRDefault="00247A67" w:rsidP="00247A67">
      <w:pPr>
        <w:jc w:val="center"/>
        <w:rPr>
          <w:rFonts w:ascii="Calibri" w:eastAsia="Calibri" w:hAnsi="Calibri" w:cs="Arial"/>
          <w:b/>
          <w:bCs/>
          <w:color w:val="000000"/>
          <w:sz w:val="28"/>
          <w:szCs w:val="22"/>
        </w:rPr>
      </w:pPr>
    </w:p>
    <w:p w14:paraId="6C1C61F3" w14:textId="77777777" w:rsidR="00247A67" w:rsidRPr="00617A56" w:rsidRDefault="00247A67" w:rsidP="00247A67">
      <w:pPr>
        <w:jc w:val="center"/>
        <w:rPr>
          <w:rFonts w:eastAsia="Calibri" w:cs="Arial"/>
          <w:b/>
          <w:bCs/>
          <w:color w:val="000000"/>
          <w:sz w:val="28"/>
          <w:szCs w:val="22"/>
        </w:rPr>
      </w:pPr>
      <w:r w:rsidRPr="00617A56">
        <w:rPr>
          <w:rFonts w:eastAsia="Calibri" w:cs="Arial"/>
          <w:b/>
          <w:bCs/>
          <w:color w:val="000000"/>
          <w:sz w:val="28"/>
          <w:szCs w:val="22"/>
        </w:rPr>
        <w:t>The rules for the protection of personal data used by the Medical University of Warsaw:</w:t>
      </w:r>
    </w:p>
    <w:p w14:paraId="17E695CD" w14:textId="77777777" w:rsidR="00247A67" w:rsidRPr="00617A56" w:rsidRDefault="00247A67" w:rsidP="00247A67">
      <w:pPr>
        <w:ind w:left="720"/>
        <w:rPr>
          <w:rFonts w:eastAsia="Calibri" w:cs="Arial"/>
          <w:b/>
          <w:bCs/>
          <w:color w:val="000000"/>
          <w:sz w:val="22"/>
          <w:szCs w:val="22"/>
        </w:rPr>
      </w:pPr>
    </w:p>
    <w:p w14:paraId="040D89F5"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The administrator of personal data is the Medical University of Warsaw located in Warsaw, </w:t>
      </w:r>
      <w:proofErr w:type="spellStart"/>
      <w:r w:rsidRPr="00617A56">
        <w:rPr>
          <w:rFonts w:eastAsia="Calibri" w:cs="Arial"/>
          <w:bCs/>
          <w:color w:val="000000"/>
          <w:sz w:val="22"/>
          <w:szCs w:val="22"/>
        </w:rPr>
        <w:t>Żwirki</w:t>
      </w:r>
      <w:proofErr w:type="spellEnd"/>
      <w:r w:rsidRPr="00617A56">
        <w:rPr>
          <w:rFonts w:eastAsia="Calibri" w:cs="Arial"/>
          <w:bCs/>
          <w:color w:val="000000"/>
          <w:sz w:val="22"/>
          <w:szCs w:val="22"/>
        </w:rPr>
        <w:t xml:space="preserve"> i </w:t>
      </w:r>
      <w:proofErr w:type="spellStart"/>
      <w:r w:rsidRPr="00617A56">
        <w:rPr>
          <w:rFonts w:eastAsia="Calibri" w:cs="Arial"/>
          <w:bCs/>
          <w:color w:val="000000"/>
          <w:sz w:val="22"/>
          <w:szCs w:val="22"/>
        </w:rPr>
        <w:t>Wigury</w:t>
      </w:r>
      <w:proofErr w:type="spellEnd"/>
      <w:r w:rsidRPr="00617A56">
        <w:rPr>
          <w:rFonts w:eastAsia="Calibri" w:cs="Arial"/>
          <w:bCs/>
          <w:color w:val="000000"/>
          <w:sz w:val="22"/>
          <w:szCs w:val="22"/>
        </w:rPr>
        <w:t xml:space="preserve"> 61, 02-091 Warszawa,</w:t>
      </w:r>
    </w:p>
    <w:p w14:paraId="16721D20"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Contact to the Data Protection Officer - email address:  iod@wum.edu.pl.</w:t>
      </w:r>
    </w:p>
    <w:p w14:paraId="32D4130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be processed in order to implement the recruitment process pursuant to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of the Labor Code, and in the case of providing a broader scope of data pursuant to art. 6 § 1a GDPR - consent expressed by the candidate.</w:t>
      </w:r>
    </w:p>
    <w:p w14:paraId="0CEB4C3D"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Access to personal data within the University's organizational structure shall only have employees authorized by the Administrator in the necessary scope.</w:t>
      </w:r>
    </w:p>
    <w:p w14:paraId="39D87F53"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not be disclosed to other entities, except for entities authorized by law.</w:t>
      </w:r>
    </w:p>
    <w:p w14:paraId="419971B6"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Personal data will be stored for the period necessary to carry out the recruitment process, up to 12 months from the settlement of the recruitment process. After this period, they will be removed. </w:t>
      </w:r>
    </w:p>
    <w:p w14:paraId="36AC35CC"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access your data, the right to rectify, delete, limit processing, the right to transfer data, the right to object to the processing, the right to withdraw consent.</w:t>
      </w:r>
    </w:p>
    <w:p w14:paraId="0798B56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withdraw consent to the processing of your personal data at any time, which will not affect the lawfulness of the processing that was carried out on the basis of consent before its withdrawal.</w:t>
      </w:r>
    </w:p>
    <w:p w14:paraId="08748957"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lodge a complaint with the Office for Personal Data Protection when it is justified that his personal data are processed by the Administrator in breach of the general regulation on the protection of personal data of April 27, 2016.</w:t>
      </w:r>
    </w:p>
    <w:p w14:paraId="79C57C4F"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Providing personal data is voluntary, but necessary to participate in the recruitment process to the extent specified in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 1 of the Labor Code, voluntary in the remaining scope.</w:t>
      </w:r>
    </w:p>
    <w:p w14:paraId="283EDB43"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Decisions will not be taken in an automated manner and personal data will not be subject to profiling.</w:t>
      </w:r>
    </w:p>
    <w:p w14:paraId="0E6E56DC" w14:textId="77777777" w:rsidR="00247A67" w:rsidRPr="00617A56" w:rsidRDefault="00247A67" w:rsidP="00247A67"/>
    <w:p w14:paraId="7A85B028" w14:textId="77777777" w:rsidR="00E83568" w:rsidRPr="00A1190B" w:rsidRDefault="00E83568" w:rsidP="00E83568">
      <w:pPr>
        <w:pBdr>
          <w:bottom w:val="single" w:sz="4" w:space="1" w:color="auto"/>
        </w:pBdr>
        <w:jc w:val="both"/>
        <w:rPr>
          <w:i/>
        </w:rPr>
      </w:pPr>
    </w:p>
    <w:p w14:paraId="75C3EC1C" w14:textId="77777777" w:rsidR="00E83568" w:rsidRPr="00A1190B" w:rsidRDefault="00E83568" w:rsidP="00E83568">
      <w:pPr>
        <w:pBdr>
          <w:bottom w:val="single" w:sz="4" w:space="1" w:color="auto"/>
        </w:pBdr>
        <w:jc w:val="both"/>
        <w:rPr>
          <w:i/>
        </w:rPr>
      </w:pPr>
    </w:p>
    <w:p w14:paraId="7845D87E" w14:textId="77777777" w:rsidR="00E83568" w:rsidRPr="00A1190B" w:rsidRDefault="00E83568" w:rsidP="00E83568">
      <w:pPr>
        <w:pBdr>
          <w:bottom w:val="single" w:sz="4" w:space="1" w:color="auto"/>
        </w:pBdr>
        <w:jc w:val="both"/>
        <w:rPr>
          <w:i/>
        </w:rPr>
      </w:pPr>
    </w:p>
    <w:p w14:paraId="2A8F5063" w14:textId="77777777" w:rsidR="00E83568" w:rsidRPr="00A1190B" w:rsidRDefault="00E83568" w:rsidP="00E83568">
      <w:pPr>
        <w:pBdr>
          <w:bottom w:val="single" w:sz="4" w:space="1" w:color="auto"/>
        </w:pBdr>
        <w:jc w:val="both"/>
        <w:rPr>
          <w:i/>
        </w:rPr>
      </w:pPr>
    </w:p>
    <w:p w14:paraId="570BAE1F" w14:textId="77777777" w:rsidR="00E83568" w:rsidRPr="00A1190B" w:rsidRDefault="00E83568" w:rsidP="00E83568">
      <w:pPr>
        <w:pBdr>
          <w:bottom w:val="single" w:sz="4" w:space="1" w:color="auto"/>
        </w:pBdr>
        <w:jc w:val="both"/>
        <w:rPr>
          <w:i/>
        </w:rPr>
      </w:pPr>
    </w:p>
    <w:p w14:paraId="7623B207" w14:textId="77777777" w:rsidR="00E83568" w:rsidRPr="00A1190B" w:rsidRDefault="00E83568" w:rsidP="00E16188">
      <w:pPr>
        <w:jc w:val="both"/>
      </w:pPr>
    </w:p>
    <w:p w14:paraId="32074AC9" w14:textId="77777777" w:rsidR="004B153C" w:rsidRPr="003D135A" w:rsidRDefault="00E83568" w:rsidP="004B153C">
      <w:pPr>
        <w:widowControl w:val="0"/>
        <w:autoSpaceDE w:val="0"/>
        <w:autoSpaceDN w:val="0"/>
        <w:adjustRightInd w:val="0"/>
        <w:jc w:val="center"/>
        <w:rPr>
          <w:i/>
          <w:iCs/>
          <w:sz w:val="22"/>
          <w:szCs w:val="22"/>
        </w:rPr>
      </w:pPr>
      <w:r w:rsidRPr="002D5115">
        <w:rPr>
          <w:rStyle w:val="st"/>
          <w:sz w:val="26"/>
          <w:szCs w:val="26"/>
        </w:rPr>
        <w:t>P</w:t>
      </w:r>
      <w:r w:rsidRPr="002D5115">
        <w:rPr>
          <w:rStyle w:val="Uwydatnienie"/>
          <w:i w:val="0"/>
          <w:sz w:val="26"/>
          <w:szCs w:val="26"/>
        </w:rPr>
        <w:t>roject “</w:t>
      </w:r>
      <w:r w:rsidR="004B153C">
        <w:rPr>
          <w:i/>
        </w:rPr>
        <w:t>“</w:t>
      </w:r>
      <w:r w:rsidR="004B153C">
        <w:rPr>
          <w:rStyle w:val="Pogrubienie"/>
          <w:rFonts w:ascii="Roboto" w:hAnsi="Roboto"/>
          <w:i/>
          <w:iCs/>
          <w:color w:val="0A0A0A"/>
          <w:sz w:val="22"/>
          <w:szCs w:val="22"/>
          <w:shd w:val="clear" w:color="auto" w:fill="FEFEFE"/>
        </w:rPr>
        <w:t>The novel view on circulating and hematopoietic stem cell-expressed complement in hematopoietic posttransplant recovery”</w:t>
      </w:r>
    </w:p>
    <w:p w14:paraId="52719D6B" w14:textId="5CCCD9E2" w:rsidR="002D5115" w:rsidRPr="002D5115" w:rsidRDefault="00E83568" w:rsidP="00E83568">
      <w:pPr>
        <w:jc w:val="center"/>
        <w:rPr>
          <w:rStyle w:val="st"/>
          <w:i/>
          <w:sz w:val="26"/>
          <w:szCs w:val="26"/>
        </w:rPr>
      </w:pPr>
      <w:r w:rsidRPr="002D5115">
        <w:rPr>
          <w:i/>
          <w:sz w:val="26"/>
          <w:szCs w:val="26"/>
        </w:rPr>
        <w:t>”</w:t>
      </w:r>
      <w:r w:rsidRPr="002D5115">
        <w:rPr>
          <w:rStyle w:val="Uwydatnienie"/>
          <w:i w:val="0"/>
          <w:sz w:val="26"/>
          <w:szCs w:val="26"/>
        </w:rPr>
        <w:t xml:space="preserve"> is funded</w:t>
      </w:r>
      <w:r w:rsidRPr="002D5115">
        <w:rPr>
          <w:rStyle w:val="st"/>
          <w:i/>
          <w:sz w:val="26"/>
          <w:szCs w:val="26"/>
        </w:rPr>
        <w:t xml:space="preserve"> </w:t>
      </w:r>
    </w:p>
    <w:p w14:paraId="6BB0FAD8" w14:textId="215E4CC8" w:rsidR="00E83568" w:rsidRPr="002D5115" w:rsidRDefault="00E83568" w:rsidP="00E83568">
      <w:pPr>
        <w:jc w:val="center"/>
        <w:rPr>
          <w:rStyle w:val="st"/>
          <w:i/>
          <w:sz w:val="26"/>
          <w:szCs w:val="26"/>
        </w:rPr>
      </w:pPr>
      <w:r w:rsidRPr="002D5115">
        <w:rPr>
          <w:rStyle w:val="st"/>
          <w:sz w:val="26"/>
          <w:szCs w:val="26"/>
        </w:rPr>
        <w:t>by the</w:t>
      </w:r>
      <w:r w:rsidRPr="002D5115">
        <w:rPr>
          <w:rStyle w:val="st"/>
          <w:i/>
          <w:sz w:val="26"/>
          <w:szCs w:val="26"/>
        </w:rPr>
        <w:t xml:space="preserve"> </w:t>
      </w:r>
      <w:r w:rsidRPr="002D5115">
        <w:rPr>
          <w:rStyle w:val="Uwydatnienie"/>
          <w:i w:val="0"/>
          <w:sz w:val="26"/>
          <w:szCs w:val="26"/>
        </w:rPr>
        <w:t>National Science Centre</w:t>
      </w:r>
      <w:r w:rsidRPr="002D5115">
        <w:rPr>
          <w:rStyle w:val="st"/>
          <w:i/>
          <w:sz w:val="26"/>
          <w:szCs w:val="26"/>
        </w:rPr>
        <w:t xml:space="preserve"> </w:t>
      </w:r>
      <w:r w:rsidRPr="002D5115">
        <w:rPr>
          <w:rStyle w:val="st"/>
          <w:sz w:val="26"/>
          <w:szCs w:val="26"/>
        </w:rPr>
        <w:t>under the</w:t>
      </w:r>
      <w:r w:rsidRPr="002D5115">
        <w:rPr>
          <w:rStyle w:val="st"/>
          <w:i/>
          <w:sz w:val="26"/>
          <w:szCs w:val="26"/>
        </w:rPr>
        <w:t xml:space="preserve"> </w:t>
      </w:r>
      <w:r w:rsidR="004E5A73">
        <w:rPr>
          <w:rStyle w:val="st"/>
          <w:i/>
          <w:sz w:val="26"/>
          <w:szCs w:val="26"/>
        </w:rPr>
        <w:t>OPUS</w:t>
      </w:r>
      <w:r w:rsidR="00A91520">
        <w:rPr>
          <w:rStyle w:val="st"/>
          <w:i/>
          <w:sz w:val="26"/>
          <w:szCs w:val="26"/>
        </w:rPr>
        <w:t xml:space="preserve"> 23</w:t>
      </w:r>
      <w:r w:rsidRPr="002D5115">
        <w:rPr>
          <w:rStyle w:val="st"/>
          <w:i/>
          <w:sz w:val="26"/>
          <w:szCs w:val="26"/>
        </w:rPr>
        <w:t xml:space="preserve"> </w:t>
      </w:r>
      <w:r w:rsidRPr="002D5115">
        <w:rPr>
          <w:rStyle w:val="st"/>
          <w:sz w:val="26"/>
          <w:szCs w:val="26"/>
        </w:rPr>
        <w:t>scheme</w:t>
      </w:r>
      <w:r w:rsidRPr="002D5115">
        <w:rPr>
          <w:rStyle w:val="st"/>
          <w:i/>
          <w:sz w:val="26"/>
          <w:szCs w:val="26"/>
        </w:rPr>
        <w:t>.</w:t>
      </w:r>
    </w:p>
    <w:p w14:paraId="7F941CA9" w14:textId="77777777" w:rsidR="00E83568" w:rsidRDefault="00E83568" w:rsidP="00E16188">
      <w:pPr>
        <w:jc w:val="both"/>
        <w:rPr>
          <w:rStyle w:val="st"/>
          <w:i/>
        </w:rPr>
      </w:pPr>
    </w:p>
    <w:p w14:paraId="701C8AAF" w14:textId="77777777" w:rsidR="00E83568" w:rsidRDefault="00E83568" w:rsidP="00E16188">
      <w:pPr>
        <w:jc w:val="both"/>
        <w:rPr>
          <w:rStyle w:val="st"/>
          <w:i/>
        </w:rPr>
      </w:pPr>
    </w:p>
    <w:p w14:paraId="12014F31" w14:textId="77777777" w:rsidR="00E83568" w:rsidRDefault="00E83568" w:rsidP="00E83568">
      <w:pPr>
        <w:jc w:val="center"/>
        <w:rPr>
          <w:i/>
        </w:rPr>
      </w:pPr>
      <w:r>
        <w:rPr>
          <w:i/>
          <w:noProof/>
          <w:lang w:val="pl-PL" w:eastAsia="pl-PL"/>
        </w:rPr>
        <w:drawing>
          <wp:inline distT="0" distB="0" distL="0" distR="0" wp14:anchorId="77EDE95B" wp14:editId="7D1E464F">
            <wp:extent cx="4170178" cy="471594"/>
            <wp:effectExtent l="19050" t="0" r="1772"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168368" cy="471389"/>
                    </a:xfrm>
                    <a:prstGeom prst="rect">
                      <a:avLst/>
                    </a:prstGeom>
                    <a:noFill/>
                    <a:ln w="9525">
                      <a:noFill/>
                      <a:miter lim="800000"/>
                      <a:headEnd/>
                      <a:tailEnd/>
                    </a:ln>
                  </pic:spPr>
                </pic:pic>
              </a:graphicData>
            </a:graphic>
          </wp:inline>
        </w:drawing>
      </w:r>
    </w:p>
    <w:p w14:paraId="5747C8C4" w14:textId="77777777" w:rsidR="00E83568" w:rsidRPr="00E83568" w:rsidRDefault="00E83568" w:rsidP="00E83568">
      <w:pPr>
        <w:pBdr>
          <w:bottom w:val="single" w:sz="4" w:space="1" w:color="auto"/>
        </w:pBdr>
        <w:jc w:val="center"/>
        <w:rPr>
          <w:i/>
        </w:rPr>
      </w:pPr>
    </w:p>
    <w:sectPr w:rsidR="00E83568" w:rsidRPr="00E83568" w:rsidSect="00E83568">
      <w:headerReference w:type="default" r:id="rId10"/>
      <w:pgSz w:w="12240" w:h="15840"/>
      <w:pgMar w:top="1135" w:right="1800"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6962F" w14:textId="77777777" w:rsidR="00F453A1" w:rsidRDefault="00F453A1" w:rsidP="00A42EE2">
      <w:r>
        <w:separator/>
      </w:r>
    </w:p>
  </w:endnote>
  <w:endnote w:type="continuationSeparator" w:id="0">
    <w:p w14:paraId="7B9447CC" w14:textId="77777777" w:rsidR="00F453A1" w:rsidRDefault="00F453A1" w:rsidP="00A42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EE"/>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EE"/>
    <w:family w:val="modern"/>
    <w:pitch w:val="fixed"/>
    <w:sig w:usb0="E10002FF" w:usb1="4000FCFF" w:usb2="00000009" w:usb3="00000000" w:csb0="0000019F" w:csb1="00000000"/>
  </w:font>
  <w:font w:name="Roboto">
    <w:altName w:val="Arial"/>
    <w:charset w:val="00"/>
    <w:family w:val="auto"/>
    <w:pitch w:val="variable"/>
    <w:sig w:usb0="E0000AFF" w:usb1="5000217F" w:usb2="00000021" w:usb3="00000000" w:csb0="0000019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40EF0" w14:textId="77777777" w:rsidR="00F453A1" w:rsidRDefault="00F453A1" w:rsidP="00A42EE2">
      <w:r>
        <w:separator/>
      </w:r>
    </w:p>
  </w:footnote>
  <w:footnote w:type="continuationSeparator" w:id="0">
    <w:p w14:paraId="4D765B35" w14:textId="77777777" w:rsidR="00F453A1" w:rsidRDefault="00F453A1" w:rsidP="00A42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9E736C" w14:textId="1B3CFA3C" w:rsidR="00A42EE2" w:rsidRDefault="00A42EE2">
    <w:pPr>
      <w:pStyle w:val="Nagwek"/>
    </w:pPr>
    <w:r>
      <w:rPr>
        <w:noProof/>
      </w:rPr>
      <w:drawing>
        <wp:inline distT="0" distB="0" distL="0" distR="0" wp14:anchorId="0D58A345" wp14:editId="65E6FD09">
          <wp:extent cx="3143250" cy="2037080"/>
          <wp:effectExtent l="0" t="0" r="0" b="1270"/>
          <wp:docPr id="1692658895" name="Obraz 1" descr="Obraz zawierający tekst, Czcionka, logo, symbol&#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58895" name="Obraz 1" descr="Obraz zawierający tekst, Czcionka, logo, symbol&#10;&#10;Opis wygenerowany automatycznie"/>
                  <pic:cNvPicPr/>
                </pic:nvPicPr>
                <pic:blipFill>
                  <a:blip r:embed="rId1"/>
                  <a:stretch>
                    <a:fillRect/>
                  </a:stretch>
                </pic:blipFill>
                <pic:spPr>
                  <a:xfrm>
                    <a:off x="0" y="0"/>
                    <a:ext cx="3172061" cy="20557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434E0"/>
    <w:multiLevelType w:val="hybridMultilevel"/>
    <w:tmpl w:val="27FC3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4154A40"/>
    <w:multiLevelType w:val="hybridMultilevel"/>
    <w:tmpl w:val="7466E4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7D9E6799"/>
    <w:multiLevelType w:val="hybridMultilevel"/>
    <w:tmpl w:val="263E9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E66516F"/>
    <w:multiLevelType w:val="hybridMultilevel"/>
    <w:tmpl w:val="BB6A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766304">
    <w:abstractNumId w:val="3"/>
  </w:num>
  <w:num w:numId="2" w16cid:durableId="1434783258">
    <w:abstractNumId w:val="2"/>
  </w:num>
  <w:num w:numId="3" w16cid:durableId="1375537809">
    <w:abstractNumId w:val="1"/>
  </w:num>
  <w:num w:numId="4" w16cid:durableId="2079085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FD"/>
    <w:rsid w:val="000666D6"/>
    <w:rsid w:val="000B08AB"/>
    <w:rsid w:val="000E2376"/>
    <w:rsid w:val="000E69F2"/>
    <w:rsid w:val="001F4C18"/>
    <w:rsid w:val="002371B1"/>
    <w:rsid w:val="00247A67"/>
    <w:rsid w:val="002825D6"/>
    <w:rsid w:val="00284298"/>
    <w:rsid w:val="002A44DC"/>
    <w:rsid w:val="002D4E7A"/>
    <w:rsid w:val="002D5115"/>
    <w:rsid w:val="002F7A80"/>
    <w:rsid w:val="0037732F"/>
    <w:rsid w:val="003C698B"/>
    <w:rsid w:val="003D135A"/>
    <w:rsid w:val="003E3C80"/>
    <w:rsid w:val="00413E0E"/>
    <w:rsid w:val="00460AEB"/>
    <w:rsid w:val="00480E92"/>
    <w:rsid w:val="004A5420"/>
    <w:rsid w:val="004B153C"/>
    <w:rsid w:val="004D3E81"/>
    <w:rsid w:val="004E5A73"/>
    <w:rsid w:val="00534EFF"/>
    <w:rsid w:val="0054409B"/>
    <w:rsid w:val="00617A56"/>
    <w:rsid w:val="006722CD"/>
    <w:rsid w:val="006822C3"/>
    <w:rsid w:val="006D7BBC"/>
    <w:rsid w:val="006E1E43"/>
    <w:rsid w:val="00760FFD"/>
    <w:rsid w:val="00767D23"/>
    <w:rsid w:val="00777B25"/>
    <w:rsid w:val="0078364E"/>
    <w:rsid w:val="007844BF"/>
    <w:rsid w:val="007951BE"/>
    <w:rsid w:val="007B14E3"/>
    <w:rsid w:val="007B6305"/>
    <w:rsid w:val="008126A5"/>
    <w:rsid w:val="00892D3A"/>
    <w:rsid w:val="008B00C7"/>
    <w:rsid w:val="008D0884"/>
    <w:rsid w:val="008E34C9"/>
    <w:rsid w:val="008F6770"/>
    <w:rsid w:val="00982EFB"/>
    <w:rsid w:val="00986B59"/>
    <w:rsid w:val="00990A49"/>
    <w:rsid w:val="00A1190B"/>
    <w:rsid w:val="00A42EE2"/>
    <w:rsid w:val="00A91520"/>
    <w:rsid w:val="00AA4032"/>
    <w:rsid w:val="00AE646D"/>
    <w:rsid w:val="00B350AB"/>
    <w:rsid w:val="00B35DCC"/>
    <w:rsid w:val="00B7206F"/>
    <w:rsid w:val="00BA5A68"/>
    <w:rsid w:val="00BD6A00"/>
    <w:rsid w:val="00BE7472"/>
    <w:rsid w:val="00C53B74"/>
    <w:rsid w:val="00CD1254"/>
    <w:rsid w:val="00CF1299"/>
    <w:rsid w:val="00D574C5"/>
    <w:rsid w:val="00DE43F1"/>
    <w:rsid w:val="00E16188"/>
    <w:rsid w:val="00E51B38"/>
    <w:rsid w:val="00E81E14"/>
    <w:rsid w:val="00E83568"/>
    <w:rsid w:val="00EA0AE2"/>
    <w:rsid w:val="00EA0CE4"/>
    <w:rsid w:val="00EA6F46"/>
    <w:rsid w:val="00EC57D3"/>
    <w:rsid w:val="00F00649"/>
    <w:rsid w:val="00F130EA"/>
    <w:rsid w:val="00F2654D"/>
    <w:rsid w:val="00F268A0"/>
    <w:rsid w:val="00F453A1"/>
    <w:rsid w:val="00F62E74"/>
    <w:rsid w:val="00F83CAB"/>
    <w:rsid w:val="00F841F3"/>
    <w:rsid w:val="00FC31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CDDF44"/>
  <w15:docId w15:val="{0CEA0450-5153-4CFB-9784-2993C3DF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60FFD"/>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760FFD"/>
    <w:rPr>
      <w:rFonts w:ascii="Lucida Grande" w:hAnsi="Lucida Grande" w:cs="Lucida Grande"/>
      <w:sz w:val="18"/>
      <w:szCs w:val="18"/>
    </w:rPr>
  </w:style>
  <w:style w:type="character" w:styleId="Pogrubienie">
    <w:name w:val="Strong"/>
    <w:basedOn w:val="Domylnaczcionkaakapitu"/>
    <w:uiPriority w:val="22"/>
    <w:qFormat/>
    <w:rsid w:val="00AA4032"/>
    <w:rPr>
      <w:b/>
      <w:bCs/>
    </w:rPr>
  </w:style>
  <w:style w:type="character" w:styleId="Hipercze">
    <w:name w:val="Hyperlink"/>
    <w:basedOn w:val="Domylnaczcionkaakapitu"/>
    <w:uiPriority w:val="99"/>
    <w:unhideWhenUsed/>
    <w:rsid w:val="000B08AB"/>
    <w:rPr>
      <w:color w:val="0000FF" w:themeColor="hyperlink"/>
      <w:u w:val="single"/>
    </w:rPr>
  </w:style>
  <w:style w:type="paragraph" w:styleId="Akapitzlist">
    <w:name w:val="List Paragraph"/>
    <w:basedOn w:val="Normalny"/>
    <w:uiPriority w:val="34"/>
    <w:qFormat/>
    <w:rsid w:val="00F2654D"/>
    <w:pPr>
      <w:ind w:left="720"/>
      <w:contextualSpacing/>
    </w:pPr>
  </w:style>
  <w:style w:type="character" w:customStyle="1" w:styleId="st">
    <w:name w:val="st"/>
    <w:basedOn w:val="Domylnaczcionkaakapitu"/>
    <w:rsid w:val="00E83568"/>
  </w:style>
  <w:style w:type="character" w:styleId="Uwydatnienie">
    <w:name w:val="Emphasis"/>
    <w:basedOn w:val="Domylnaczcionkaakapitu"/>
    <w:uiPriority w:val="20"/>
    <w:qFormat/>
    <w:rsid w:val="00E83568"/>
    <w:rPr>
      <w:i/>
      <w:iCs/>
    </w:rPr>
  </w:style>
  <w:style w:type="character" w:customStyle="1" w:styleId="Nierozpoznanawzmianka1">
    <w:name w:val="Nierozpoznana wzmianka1"/>
    <w:basedOn w:val="Domylnaczcionkaakapitu"/>
    <w:uiPriority w:val="99"/>
    <w:semiHidden/>
    <w:unhideWhenUsed/>
    <w:rsid w:val="00B350AB"/>
    <w:rPr>
      <w:color w:val="605E5C"/>
      <w:shd w:val="clear" w:color="auto" w:fill="E1DFDD"/>
    </w:rPr>
  </w:style>
  <w:style w:type="paragraph" w:styleId="Nagwek">
    <w:name w:val="header"/>
    <w:basedOn w:val="Normalny"/>
    <w:link w:val="NagwekZnak"/>
    <w:uiPriority w:val="99"/>
    <w:unhideWhenUsed/>
    <w:rsid w:val="00A42EE2"/>
    <w:pPr>
      <w:tabs>
        <w:tab w:val="center" w:pos="4536"/>
        <w:tab w:val="right" w:pos="9072"/>
      </w:tabs>
    </w:pPr>
  </w:style>
  <w:style w:type="character" w:customStyle="1" w:styleId="NagwekZnak">
    <w:name w:val="Nagłówek Znak"/>
    <w:basedOn w:val="Domylnaczcionkaakapitu"/>
    <w:link w:val="Nagwek"/>
    <w:uiPriority w:val="99"/>
    <w:rsid w:val="00A42EE2"/>
  </w:style>
  <w:style w:type="paragraph" w:styleId="Stopka">
    <w:name w:val="footer"/>
    <w:basedOn w:val="Normalny"/>
    <w:link w:val="StopkaZnak"/>
    <w:uiPriority w:val="99"/>
    <w:unhideWhenUsed/>
    <w:rsid w:val="00A42EE2"/>
    <w:pPr>
      <w:tabs>
        <w:tab w:val="center" w:pos="4536"/>
        <w:tab w:val="right" w:pos="9072"/>
      </w:tabs>
    </w:pPr>
  </w:style>
  <w:style w:type="character" w:customStyle="1" w:styleId="StopkaZnak">
    <w:name w:val="Stopka Znak"/>
    <w:basedOn w:val="Domylnaczcionkaakapitu"/>
    <w:link w:val="Stopka"/>
    <w:uiPriority w:val="99"/>
    <w:rsid w:val="00A42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852034">
      <w:bodyDiv w:val="1"/>
      <w:marLeft w:val="0"/>
      <w:marRight w:val="0"/>
      <w:marTop w:val="0"/>
      <w:marBottom w:val="0"/>
      <w:divBdr>
        <w:top w:val="none" w:sz="0" w:space="0" w:color="auto"/>
        <w:left w:val="none" w:sz="0" w:space="0" w:color="auto"/>
        <w:bottom w:val="none" w:sz="0" w:space="0" w:color="auto"/>
        <w:right w:val="none" w:sz="0" w:space="0" w:color="auto"/>
      </w:divBdr>
    </w:div>
    <w:div w:id="750199479">
      <w:bodyDiv w:val="1"/>
      <w:marLeft w:val="0"/>
      <w:marRight w:val="0"/>
      <w:marTop w:val="0"/>
      <w:marBottom w:val="0"/>
      <w:divBdr>
        <w:top w:val="none" w:sz="0" w:space="0" w:color="auto"/>
        <w:left w:val="none" w:sz="0" w:space="0" w:color="auto"/>
        <w:bottom w:val="none" w:sz="0" w:space="0" w:color="auto"/>
        <w:right w:val="none" w:sz="0" w:space="0" w:color="auto"/>
      </w:divBdr>
    </w:div>
    <w:div w:id="794062600">
      <w:bodyDiv w:val="1"/>
      <w:marLeft w:val="0"/>
      <w:marRight w:val="0"/>
      <w:marTop w:val="0"/>
      <w:marBottom w:val="0"/>
      <w:divBdr>
        <w:top w:val="none" w:sz="0" w:space="0" w:color="auto"/>
        <w:left w:val="none" w:sz="0" w:space="0" w:color="auto"/>
        <w:bottom w:val="none" w:sz="0" w:space="0" w:color="auto"/>
        <w:right w:val="none" w:sz="0" w:space="0" w:color="auto"/>
      </w:divBdr>
    </w:div>
    <w:div w:id="849873328">
      <w:bodyDiv w:val="1"/>
      <w:marLeft w:val="0"/>
      <w:marRight w:val="0"/>
      <w:marTop w:val="0"/>
      <w:marBottom w:val="0"/>
      <w:divBdr>
        <w:top w:val="none" w:sz="0" w:space="0" w:color="auto"/>
        <w:left w:val="none" w:sz="0" w:space="0" w:color="auto"/>
        <w:bottom w:val="none" w:sz="0" w:space="0" w:color="auto"/>
        <w:right w:val="none" w:sz="0" w:space="0" w:color="auto"/>
      </w:divBdr>
    </w:div>
    <w:div w:id="1209029280">
      <w:bodyDiv w:val="1"/>
      <w:marLeft w:val="0"/>
      <w:marRight w:val="0"/>
      <w:marTop w:val="0"/>
      <w:marBottom w:val="0"/>
      <w:divBdr>
        <w:top w:val="none" w:sz="0" w:space="0" w:color="auto"/>
        <w:left w:val="none" w:sz="0" w:space="0" w:color="auto"/>
        <w:bottom w:val="none" w:sz="0" w:space="0" w:color="auto"/>
        <w:right w:val="none" w:sz="0" w:space="0" w:color="auto"/>
      </w:divBdr>
    </w:div>
    <w:div w:id="1396009362">
      <w:bodyDiv w:val="1"/>
      <w:marLeft w:val="0"/>
      <w:marRight w:val="0"/>
      <w:marTop w:val="0"/>
      <w:marBottom w:val="0"/>
      <w:divBdr>
        <w:top w:val="none" w:sz="0" w:space="0" w:color="auto"/>
        <w:left w:val="none" w:sz="0" w:space="0" w:color="auto"/>
        <w:bottom w:val="none" w:sz="0" w:space="0" w:color="auto"/>
        <w:right w:val="none" w:sz="0" w:space="0" w:color="auto"/>
      </w:divBdr>
    </w:div>
    <w:div w:id="1639651476">
      <w:bodyDiv w:val="1"/>
      <w:marLeft w:val="0"/>
      <w:marRight w:val="0"/>
      <w:marTop w:val="0"/>
      <w:marBottom w:val="0"/>
      <w:divBdr>
        <w:top w:val="none" w:sz="0" w:space="0" w:color="auto"/>
        <w:left w:val="none" w:sz="0" w:space="0" w:color="auto"/>
        <w:bottom w:val="none" w:sz="0" w:space="0" w:color="auto"/>
        <w:right w:val="none" w:sz="0" w:space="0" w:color="auto"/>
      </w:divBdr>
    </w:div>
    <w:div w:id="1921524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ycyna.regeneracyjna@wum.edu.pl" TargetMode="External"/><Relationship Id="rId3" Type="http://schemas.openxmlformats.org/officeDocument/2006/relationships/settings" Target="settings.xml"/><Relationship Id="rId7" Type="http://schemas.openxmlformats.org/officeDocument/2006/relationships/hyperlink" Target="mailto:mariusz.ratajczak@wum.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5</Pages>
  <Words>1365</Words>
  <Characters>8191</Characters>
  <Application>Microsoft Office Word</Application>
  <DocSecurity>0</DocSecurity>
  <Lines>68</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Yale Univ</Company>
  <LinksUpToDate>false</LinksUpToDate>
  <CharactersWithSpaces>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Krause</dc:creator>
  <cp:lastModifiedBy>Beata Krenc</cp:lastModifiedBy>
  <cp:revision>2</cp:revision>
  <dcterms:created xsi:type="dcterms:W3CDTF">2024-08-07T12:44:00Z</dcterms:created>
  <dcterms:modified xsi:type="dcterms:W3CDTF">2024-08-07T12:44:00Z</dcterms:modified>
</cp:coreProperties>
</file>